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82" w:rsidRDefault="0037058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8"/>
          <w:szCs w:val="8"/>
        </w:rPr>
      </w:pPr>
    </w:p>
    <w:tbl>
      <w:tblPr>
        <w:tblStyle w:val="a5"/>
        <w:tblW w:w="94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710"/>
        <w:gridCol w:w="4770"/>
      </w:tblGrid>
      <w:tr w:rsidR="00370582">
        <w:trPr>
          <w:trHeight w:val="4410"/>
        </w:trPr>
        <w:tc>
          <w:tcPr>
            <w:tcW w:w="4710" w:type="dxa"/>
          </w:tcPr>
          <w:p w:rsidR="00370582" w:rsidRDefault="00992262">
            <w:pPr>
              <w:ind w:firstLine="0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 xml:space="preserve">Учреждение образования </w:t>
            </w:r>
          </w:p>
          <w:p w:rsidR="00370582" w:rsidRDefault="00992262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«Белорусский государственный университет информатики</w:t>
            </w:r>
            <w:r>
              <w:rPr>
                <w:color w:val="000000"/>
              </w:rPr>
              <w:br/>
              <w:t>и радиоэлектроники»</w:t>
            </w:r>
          </w:p>
          <w:p w:rsidR="00370582" w:rsidRDefault="00370582">
            <w:pPr>
              <w:rPr>
                <w:color w:val="000000"/>
              </w:rPr>
            </w:pPr>
          </w:p>
        </w:tc>
        <w:tc>
          <w:tcPr>
            <w:tcW w:w="4770" w:type="dxa"/>
          </w:tcPr>
          <w:p w:rsidR="00370582" w:rsidRDefault="0041294D">
            <w:pPr>
              <w:widowControl w:val="0"/>
              <w:ind w:firstLine="0"/>
            </w:pPr>
            <w:r>
              <w:t>Утверждено ректором</w:t>
            </w:r>
          </w:p>
          <w:p w:rsidR="00370582" w:rsidRDefault="00992262">
            <w:pPr>
              <w:widowControl w:val="0"/>
              <w:ind w:firstLine="0"/>
            </w:pPr>
            <w:proofErr w:type="spellStart"/>
            <w:r>
              <w:t>Богуш</w:t>
            </w:r>
            <w:r w:rsidR="0041294D">
              <w:t>ем</w:t>
            </w:r>
            <w:proofErr w:type="spellEnd"/>
            <w:r w:rsidR="0041294D">
              <w:t xml:space="preserve"> В.А.</w:t>
            </w:r>
          </w:p>
          <w:p w:rsidR="00370582" w:rsidRDefault="0041294D">
            <w:pPr>
              <w:ind w:firstLine="0"/>
            </w:pPr>
            <w:r>
              <w:t>12</w:t>
            </w:r>
            <w:r w:rsidR="00992262">
              <w:t>.</w:t>
            </w:r>
            <w:r>
              <w:t>03</w:t>
            </w:r>
            <w:r w:rsidR="00992262">
              <w:t xml:space="preserve">.2025 </w:t>
            </w:r>
          </w:p>
          <w:p w:rsidR="00370582" w:rsidRDefault="00370582">
            <w:pPr>
              <w:ind w:firstLine="0"/>
            </w:pPr>
          </w:p>
          <w:p w:rsidR="00370582" w:rsidRDefault="00992262">
            <w:pPr>
              <w:ind w:left="4678" w:hanging="4678"/>
            </w:pPr>
            <w:r>
              <w:t xml:space="preserve">Рассмотрено и рекомендовано </w:t>
            </w:r>
          </w:p>
          <w:p w:rsidR="00370582" w:rsidRDefault="00992262">
            <w:pPr>
              <w:ind w:left="4678" w:hanging="4678"/>
              <w:rPr>
                <w:strike/>
                <w:color w:val="FF00FF"/>
              </w:rPr>
            </w:pPr>
            <w:r>
              <w:t xml:space="preserve">к утверждению </w:t>
            </w:r>
          </w:p>
          <w:p w:rsidR="00370582" w:rsidRDefault="00992262">
            <w:pPr>
              <w:ind w:left="4678" w:hanging="4678"/>
            </w:pPr>
            <w:r>
              <w:t xml:space="preserve">Научно-методическим советом </w:t>
            </w:r>
          </w:p>
          <w:p w:rsidR="00370582" w:rsidRDefault="00992262">
            <w:pPr>
              <w:ind w:left="708" w:right="-102" w:hanging="708"/>
            </w:pPr>
            <w:r>
              <w:t xml:space="preserve">университета от </w:t>
            </w:r>
            <w:r w:rsidR="0041294D" w:rsidRPr="0041294D">
              <w:rPr>
                <w:u w:val="single"/>
              </w:rPr>
              <w:t>21.02.2025</w:t>
            </w:r>
            <w:r>
              <w:t xml:space="preserve">, </w:t>
            </w:r>
          </w:p>
          <w:p w:rsidR="00370582" w:rsidRDefault="00992262">
            <w:pPr>
              <w:ind w:left="4678" w:hanging="4678"/>
            </w:pPr>
            <w:r>
              <w:t xml:space="preserve">протокол № </w:t>
            </w:r>
            <w:r w:rsidR="0041294D" w:rsidRPr="0041294D">
              <w:rPr>
                <w:u w:val="single"/>
              </w:rPr>
              <w:t>7</w:t>
            </w:r>
            <w:r>
              <w:t xml:space="preserve">, </w:t>
            </w:r>
          </w:p>
          <w:p w:rsidR="00370582" w:rsidRDefault="00992262">
            <w:pPr>
              <w:ind w:firstLine="0"/>
              <w:jc w:val="left"/>
            </w:pPr>
            <w:r>
              <w:t xml:space="preserve">Советом </w:t>
            </w:r>
            <w:proofErr w:type="gramStart"/>
            <w:r>
              <w:t>университета  от</w:t>
            </w:r>
            <w:proofErr w:type="gramEnd"/>
            <w:r>
              <w:t xml:space="preserve"> </w:t>
            </w:r>
            <w:r w:rsidR="0041294D" w:rsidRPr="0041294D">
              <w:rPr>
                <w:u w:val="single"/>
              </w:rPr>
              <w:t>28.02.2025</w:t>
            </w:r>
            <w:r>
              <w:t>,</w:t>
            </w:r>
          </w:p>
          <w:p w:rsidR="00370582" w:rsidRDefault="00992262" w:rsidP="0041294D">
            <w:pPr>
              <w:ind w:firstLine="0"/>
              <w:jc w:val="left"/>
            </w:pPr>
            <w:r>
              <w:t xml:space="preserve">протокол № </w:t>
            </w:r>
            <w:r w:rsidR="0041294D" w:rsidRPr="0041294D">
              <w:rPr>
                <w:u w:val="single"/>
              </w:rPr>
              <w:t>7</w:t>
            </w:r>
          </w:p>
        </w:tc>
      </w:tr>
    </w:tbl>
    <w:p w:rsidR="00370582" w:rsidRDefault="00370582">
      <w:pPr>
        <w:rPr>
          <w:color w:val="000000"/>
        </w:rPr>
      </w:pPr>
    </w:p>
    <w:p w:rsidR="00370582" w:rsidRDefault="00992262">
      <w:pPr>
        <w:ind w:firstLine="0"/>
        <w:rPr>
          <w:color w:val="000000"/>
        </w:rPr>
      </w:pPr>
      <w:r>
        <w:rPr>
          <w:color w:val="000000"/>
        </w:rPr>
        <w:t>ПОЛОЖЕНИЕ</w:t>
      </w:r>
    </w:p>
    <w:p w:rsidR="00370582" w:rsidRPr="0041294D" w:rsidRDefault="0041294D">
      <w:pPr>
        <w:ind w:firstLine="0"/>
        <w:rPr>
          <w:color w:val="000000"/>
          <w:u w:val="single"/>
        </w:rPr>
      </w:pPr>
      <w:r w:rsidRPr="0041294D">
        <w:rPr>
          <w:color w:val="000000"/>
          <w:u w:val="single"/>
        </w:rPr>
        <w:t>12.03.2025</w:t>
      </w:r>
      <w:r w:rsidR="00992262" w:rsidRPr="0041294D">
        <w:rPr>
          <w:color w:val="000000"/>
          <w:u w:val="single"/>
        </w:rPr>
        <w:t>№</w:t>
      </w:r>
      <w:r w:rsidRPr="0041294D">
        <w:rPr>
          <w:color w:val="000000"/>
          <w:u w:val="single"/>
        </w:rPr>
        <w:t>3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color w:val="000000"/>
        </w:rPr>
      </w:pPr>
      <w:r>
        <w:rPr>
          <w:color w:val="000000"/>
        </w:rPr>
        <w:t xml:space="preserve">Об электронном образовательном ресурсе 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color w:val="000000"/>
        </w:rPr>
      </w:pPr>
      <w:r>
        <w:rPr>
          <w:color w:val="000000"/>
        </w:rPr>
        <w:t xml:space="preserve">по учебной дисциплине </w:t>
      </w:r>
      <w:r>
        <w:rPr>
          <w:color w:val="000000"/>
        </w:rPr>
        <w:br/>
      </w:r>
    </w:p>
    <w:p w:rsidR="00370582" w:rsidRDefault="00992262">
      <w:pPr>
        <w:pStyle w:val="1"/>
      </w:pPr>
      <w:r>
        <w:t>1. ОБЩИЕ ПОЛОЖЕНИЯ</w:t>
      </w:r>
    </w:p>
    <w:p w:rsidR="00370582" w:rsidRDefault="00992262">
      <w:r>
        <w:t>1.1. Положение «</w:t>
      </w:r>
      <w:r>
        <w:rPr>
          <w:color w:val="000000"/>
        </w:rPr>
        <w:t>Об электронном образовательном ресурсе по учебной дисциплин</w:t>
      </w:r>
      <w:r>
        <w:t>е</w:t>
      </w:r>
      <w:r>
        <w:rPr>
          <w:color w:val="000000"/>
        </w:rPr>
        <w:t xml:space="preserve">» (далее </w:t>
      </w:r>
      <w:r>
        <w:t>–</w:t>
      </w:r>
      <w:r>
        <w:rPr>
          <w:color w:val="000000"/>
        </w:rPr>
        <w:t xml:space="preserve"> Положение) </w:t>
      </w:r>
      <w:r>
        <w:t>разработано в соответствии с Кодексом Республики Беларусь об образовании, положением «Об учебно-методическом комплексе на уровне высшего образования», утвержденном постановле</w:t>
      </w:r>
      <w:r>
        <w:t>нием Министерства образования Республики Беларусь от 08.11.2022 №427, положением «О дистанционной форме получения образования при реализации образовательных программ высшего образования», утвержденным Постановлением Министерства образования Республики Бела</w:t>
      </w:r>
      <w:r>
        <w:t xml:space="preserve">русь от 08.11.2022 №430, </w:t>
      </w:r>
      <w:r>
        <w:rPr>
          <w:color w:val="000000"/>
        </w:rPr>
        <w:t xml:space="preserve">стандартом университета </w:t>
      </w:r>
      <w:r>
        <w:t xml:space="preserve">СТУ 3.11 </w:t>
      </w:r>
      <w:r>
        <w:rPr>
          <w:color w:val="000000"/>
        </w:rPr>
        <w:t>«Научно-методическое обеспечение»</w:t>
      </w:r>
      <w:r>
        <w:t>.</w:t>
      </w:r>
    </w:p>
    <w:p w:rsidR="00370582" w:rsidRDefault="00992262">
      <w:r>
        <w:t>1.2. Настоящее Положение определяет требования к электронным образовательным ресурсам, порядок их разработки, размещения, хранения, организации к ним доступа в сис</w:t>
      </w:r>
      <w:r>
        <w:t>теме электронного обучения для использования в образовательном процессе, а также методику расчета и порядок выплаты вознаграждения за их разработку.</w:t>
      </w:r>
    </w:p>
    <w:p w:rsidR="00370582" w:rsidRDefault="00992262">
      <w:r>
        <w:t>Требования к электронным образовательным ресурсам на уровне среднего специального образования, порядок их р</w:t>
      </w:r>
      <w:r>
        <w:t>азработки для использования в образовательном процессе, а также методика расчета и порядок выплаты вознаграждения разработчикам определяются положением об электронном образовательном ресурсе на уровне среднего специального образования, разрабатываемым фили</w:t>
      </w:r>
      <w:r>
        <w:t>алом «Минский радиотехнический колледж».</w:t>
      </w:r>
    </w:p>
    <w:p w:rsidR="00370582" w:rsidRDefault="00992262">
      <w:r>
        <w:rPr>
          <w:color w:val="000000"/>
        </w:rPr>
        <w:t>1.3.</w:t>
      </w:r>
      <w:r>
        <w:t> Термины и определения:</w:t>
      </w:r>
    </w:p>
    <w:p w:rsidR="00370582" w:rsidRDefault="00992262">
      <w:pPr>
        <w:ind w:firstLine="700"/>
      </w:pPr>
      <w:r>
        <w:t>Дистанционные образовательные технологии (ДОТ) – образовательные технологии, реализуемые в основном с применением информационно-коммуникационных технологий при опосредованном (на расстоян</w:t>
      </w:r>
      <w:r>
        <w:t xml:space="preserve">ии) </w:t>
      </w:r>
      <w:r>
        <w:lastRenderedPageBreak/>
        <w:t>взаимодействии обучающихся и педагогических работников в системе электронного обучения.</w:t>
      </w:r>
    </w:p>
    <w:p w:rsidR="00370582" w:rsidRDefault="00992262">
      <w:pPr>
        <w:ind w:firstLine="700"/>
      </w:pPr>
      <w:r>
        <w:t>Информационно-коммуникационные технологии – совокупность методов, производственных процессов и программно-технических средств, интегрированных с целью сбора, обрабо</w:t>
      </w:r>
      <w:r>
        <w:t>тки, хранения, распространения, отображения и использования информации в интересах ее пользователей.</w:t>
      </w:r>
    </w:p>
    <w:p w:rsidR="00370582" w:rsidRDefault="00992262">
      <w:r>
        <w:t>Система электронного обучения (СЭО) –</w:t>
      </w:r>
      <w:r>
        <w:rPr>
          <w:sz w:val="16"/>
          <w:szCs w:val="16"/>
        </w:rPr>
        <w:t xml:space="preserve"> </w:t>
      </w:r>
      <w:r>
        <w:t>комплекс программных и технических средств, обеспечивающих реализацию образовательного процесса с использованием ДОТ,</w:t>
      </w:r>
      <w:r>
        <w:t xml:space="preserve"> мониторинг и протоколирование хода и результатов изучения обучающимся учебных дисциплин (образовательной программы). </w:t>
      </w:r>
    </w:p>
    <w:p w:rsidR="00370582" w:rsidRDefault="00992262">
      <w:pPr>
        <w:ind w:firstLine="700"/>
        <w:rPr>
          <w:highlight w:val="yellow"/>
        </w:rPr>
      </w:pPr>
      <w:r>
        <w:t>Электронный образовательный ресурс по учебной дисциплине (ЭОР) – это представленные в электронном виде и размещенные в СЭО систематизиров</w:t>
      </w:r>
      <w:r>
        <w:t>анные учебные, научные и методические материалы (или ссылки на них) по учебной дисциплине для самостоятельного изучения обучающимся теоретического материала и выполнения им видов учебной деятельности, предусмотренных учебным планом (программой) в зависимос</w:t>
      </w:r>
      <w:r>
        <w:t>ти от формы получения образования, набор фондов оценочных средств для диагностики сформированных компетенций.</w:t>
      </w:r>
    </w:p>
    <w:p w:rsidR="00370582" w:rsidRDefault="00992262">
      <w:r>
        <w:t>Модуль электронного образовательного ресурса – структурная единица ЭОР, содержащая логически завершенную часть учебного материала по учебной дисци</w:t>
      </w:r>
      <w:r>
        <w:t>плине, которая включает раздел (разделы), одну или несколько тем. Модуль может не содержать материалов для практического выполнения обучающимся видов учебной деятельности, предусмотренных программой, в зависимости от формы получения образования. ЭОР содерж</w:t>
      </w:r>
      <w:r>
        <w:t>ит не менее 2 модулей (как правило, 3), а в случае осуществления подготовки по учебной дисциплине в дистанционной форме получения образования – не менее 3.</w:t>
      </w:r>
    </w:p>
    <w:p w:rsidR="00370582" w:rsidRDefault="00370582">
      <w:pPr>
        <w:pStyle w:val="1"/>
        <w:tabs>
          <w:tab w:val="left" w:pos="993"/>
        </w:tabs>
      </w:pPr>
      <w:bookmarkStart w:id="1" w:name="_30j0zll" w:colFirst="0" w:colLast="0"/>
      <w:bookmarkEnd w:id="1"/>
    </w:p>
    <w:p w:rsidR="00370582" w:rsidRDefault="00992262">
      <w:pPr>
        <w:pStyle w:val="1"/>
        <w:tabs>
          <w:tab w:val="left" w:pos="993"/>
        </w:tabs>
        <w:rPr>
          <w:sz w:val="27"/>
          <w:szCs w:val="27"/>
        </w:rPr>
      </w:pPr>
      <w:r>
        <w:t xml:space="preserve">2. </w:t>
      </w:r>
      <w:r>
        <w:rPr>
          <w:sz w:val="27"/>
          <w:szCs w:val="27"/>
        </w:rPr>
        <w:t xml:space="preserve">ТРЕБОВАНИЯ К СОДЕРЖАНИЮ И </w:t>
      </w:r>
      <w:proofErr w:type="gramStart"/>
      <w:r>
        <w:rPr>
          <w:sz w:val="27"/>
          <w:szCs w:val="27"/>
        </w:rPr>
        <w:t>ФОРМАМ  ПРЕДСТАВЛЕНИЯ</w:t>
      </w:r>
      <w:proofErr w:type="gramEnd"/>
      <w:r>
        <w:rPr>
          <w:sz w:val="27"/>
          <w:szCs w:val="27"/>
        </w:rPr>
        <w:t xml:space="preserve"> ИНФОРМАЦИИ В ЭОР, РАЗМЕЩАЕМЫХ В СЭО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2.1.</w:t>
      </w:r>
      <w:r>
        <w:t> ЭОР</w:t>
      </w:r>
      <w:r>
        <w:rPr>
          <w:color w:val="000000"/>
        </w:rPr>
        <w:t xml:space="preserve"> явля</w:t>
      </w:r>
      <w:r>
        <w:t>е</w:t>
      </w:r>
      <w:r>
        <w:rPr>
          <w:color w:val="000000"/>
        </w:rPr>
        <w:t>тся элементом научно-методического обеспечения образовательного процесса.</w:t>
      </w:r>
    </w:p>
    <w:p w:rsidR="00370582" w:rsidRDefault="00992262">
      <w:r>
        <w:t>2.2. ЭОР разрабатывается по учебным дисциплинам, включенным в образовательные программы по специальностям высшего образования. ЭОР может состоять из частей. Количество частей Э</w:t>
      </w:r>
      <w:r>
        <w:t xml:space="preserve">ОР определяется количеством семестров, в которых изучается учебная дисциплина. </w:t>
      </w:r>
    </w:p>
    <w:p w:rsidR="00370582" w:rsidRDefault="00992262">
      <w:r>
        <w:t>2.3. Обязательными элементами ЭОР являются: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ungsuh" w:eastAsia="Gungsuh" w:hAnsi="Gungsuh" w:cs="Gungsuh"/>
        </w:rPr>
        <w:t>−</w:t>
      </w:r>
      <w:r>
        <w:rPr>
          <w:rFonts w:ascii="Gungsuh" w:eastAsia="Gungsuh" w:hAnsi="Gungsuh" w:cs="Gungsuh"/>
        </w:rPr>
        <w:t> учебная программа по учебной дисциплине (или ссылка на информационный ресурс, где она размещена);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</w:pPr>
      <w:r>
        <w:t>– описание ЭОР. Включает: описан</w:t>
      </w:r>
      <w:r>
        <w:t xml:space="preserve">ие содержания ЭОР; трудоёмкость изучения теоретического материала в разбивке по модулям; перечень практического материала для каждой формы получения образования, предусмотренной программой изучения </w:t>
      </w:r>
      <w:proofErr w:type="gramStart"/>
      <w:r>
        <w:t>дисциплины;  ключевые</w:t>
      </w:r>
      <w:proofErr w:type="gramEnd"/>
      <w:r>
        <w:t xml:space="preserve"> слова, словосочетания, которые описы</w:t>
      </w:r>
      <w:r>
        <w:t>вают тематику ЭОР. Форма описания ЭОР включена в шаблон ЭОР;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ungsuh" w:eastAsia="Gungsuh" w:hAnsi="Gungsuh" w:cs="Gungsuh"/>
        </w:rPr>
        <w:lastRenderedPageBreak/>
        <w:t>−</w:t>
      </w:r>
      <w:r>
        <w:rPr>
          <w:rFonts w:ascii="Gungsuh" w:eastAsia="Gungsuh" w:hAnsi="Gungsuh" w:cs="Gungsuh"/>
        </w:rPr>
        <w:t> учебный материал по учебной дисциплине, структурированный по модулям ЭОР, изучаемым обучающимся в конкретном учебном семестре (с учетом формы получения образования);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ungsuh" w:eastAsia="Gungsuh" w:hAnsi="Gungsuh" w:cs="Gungsuh"/>
        </w:rPr>
        <w:t>−</w:t>
      </w:r>
      <w:r>
        <w:rPr>
          <w:rFonts w:ascii="Gungsuh" w:eastAsia="Gungsuh" w:hAnsi="Gungsuh" w:cs="Gungsuh"/>
        </w:rPr>
        <w:t> учебный материал по курсо</w:t>
      </w:r>
      <w:r>
        <w:rPr>
          <w:rFonts w:ascii="Gungsuh" w:eastAsia="Gungsuh" w:hAnsi="Gungsuh" w:cs="Gungsuh"/>
        </w:rPr>
        <w:t>вому проектированию;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ungsuh" w:eastAsia="Gungsuh" w:hAnsi="Gungsuh" w:cs="Gungsuh"/>
        </w:rPr>
        <w:t>−</w:t>
      </w:r>
      <w:r>
        <w:rPr>
          <w:rFonts w:ascii="Gungsuh" w:eastAsia="Gungsuh" w:hAnsi="Gungsuh" w:cs="Gungsuh"/>
        </w:rPr>
        <w:t> раздел контроля знаний. Включает форму проведения промежуточной аттестации по учебной дисциплине, примерный перечень вопросов, вариантов заданий, требования к допуску для сдачи промежуточной аттестации, контрольно-измерительные матер</w:t>
      </w:r>
      <w:r>
        <w:rPr>
          <w:rFonts w:ascii="Gungsuh" w:eastAsia="Gungsuh" w:hAnsi="Gungsuh" w:cs="Gungsuh"/>
        </w:rPr>
        <w:t>иалы (далее – КИМ).</w:t>
      </w:r>
    </w:p>
    <w:p w:rsidR="00370582" w:rsidRDefault="00992262">
      <w:pPr>
        <w:sectPr w:rsidR="003705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851" w:left="1701" w:header="720" w:footer="720" w:gutter="0"/>
          <w:pgNumType w:start="1"/>
          <w:cols w:space="720"/>
          <w:titlePg/>
        </w:sectPr>
      </w:pPr>
      <w:r>
        <w:t>2.4. Структура и содержание модулей ЭОР определяются разработчиками на основании утвержденной учебно-программной документации</w:t>
      </w:r>
      <w:r>
        <w:t xml:space="preserve"> с учетом всех форм обучения и приведена в таблице 1.</w:t>
      </w:r>
    </w:p>
    <w:p w:rsidR="00370582" w:rsidRDefault="00992262">
      <w:pPr>
        <w:ind w:firstLine="0"/>
        <w:jc w:val="left"/>
      </w:pPr>
      <w:r>
        <w:lastRenderedPageBreak/>
        <w:t xml:space="preserve">Таблица 1. Структура модуля ЭОР </w:t>
      </w:r>
    </w:p>
    <w:tbl>
      <w:tblPr>
        <w:tblStyle w:val="a6"/>
        <w:tblW w:w="153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5"/>
        <w:gridCol w:w="2535"/>
        <w:gridCol w:w="2505"/>
        <w:gridCol w:w="2385"/>
        <w:gridCol w:w="2400"/>
        <w:gridCol w:w="2070"/>
      </w:tblGrid>
      <w:tr w:rsidR="00370582">
        <w:tc>
          <w:tcPr>
            <w:tcW w:w="3495" w:type="dxa"/>
            <w:vMerge w:val="restart"/>
          </w:tcPr>
          <w:p w:rsidR="00370582" w:rsidRDefault="00992262">
            <w:pPr>
              <w:spacing w:before="60" w:after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материал по модулю ЭОР</w:t>
            </w:r>
          </w:p>
        </w:tc>
        <w:tc>
          <w:tcPr>
            <w:tcW w:w="9825" w:type="dxa"/>
            <w:gridSpan w:val="4"/>
          </w:tcPr>
          <w:p w:rsidR="00370582" w:rsidRDefault="00992262">
            <w:pPr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 материал по модулю ЭОР</w:t>
            </w:r>
          </w:p>
        </w:tc>
        <w:tc>
          <w:tcPr>
            <w:tcW w:w="2070" w:type="dxa"/>
            <w:vMerge w:val="restart"/>
          </w:tcPr>
          <w:p w:rsidR="00370582" w:rsidRDefault="00992262">
            <w:pPr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знаний по модулю ЭОР</w:t>
            </w:r>
          </w:p>
        </w:tc>
      </w:tr>
      <w:tr w:rsidR="00370582">
        <w:tc>
          <w:tcPr>
            <w:tcW w:w="3495" w:type="dxa"/>
            <w:vMerge/>
          </w:tcPr>
          <w:p w:rsidR="00370582" w:rsidRDefault="00370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370582" w:rsidRDefault="00992262">
            <w:pPr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(дневная) форма получения образования</w:t>
            </w:r>
          </w:p>
        </w:tc>
        <w:tc>
          <w:tcPr>
            <w:tcW w:w="2505" w:type="dxa"/>
          </w:tcPr>
          <w:p w:rsidR="00370582" w:rsidRDefault="00992262">
            <w:pPr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(вечерняя) форма получения образования</w:t>
            </w:r>
          </w:p>
        </w:tc>
        <w:tc>
          <w:tcPr>
            <w:tcW w:w="2385" w:type="dxa"/>
          </w:tcPr>
          <w:p w:rsidR="00370582" w:rsidRDefault="00992262">
            <w:pPr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 форма получения образования</w:t>
            </w:r>
          </w:p>
        </w:tc>
        <w:tc>
          <w:tcPr>
            <w:tcW w:w="2400" w:type="dxa"/>
          </w:tcPr>
          <w:p w:rsidR="00370582" w:rsidRDefault="00992262">
            <w:pPr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Дистанционная</w:t>
            </w:r>
          </w:p>
          <w:p w:rsidR="00370582" w:rsidRDefault="00992262">
            <w:pPr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получения образования</w:t>
            </w:r>
          </w:p>
        </w:tc>
        <w:tc>
          <w:tcPr>
            <w:tcW w:w="2070" w:type="dxa"/>
            <w:vMerge/>
          </w:tcPr>
          <w:p w:rsidR="00370582" w:rsidRDefault="00370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0582">
        <w:tc>
          <w:tcPr>
            <w:tcW w:w="3495" w:type="dxa"/>
            <w:vMerge w:val="restart"/>
          </w:tcPr>
          <w:p w:rsidR="00370582" w:rsidRDefault="00992262">
            <w:pPr>
              <w:spacing w:before="60" w:after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лекционных занятий, представленные в виде текстовых форматов, слайдов, презентаций, </w:t>
            </w:r>
            <w:proofErr w:type="spellStart"/>
            <w:r>
              <w:rPr>
                <w:sz w:val="24"/>
                <w:szCs w:val="24"/>
              </w:rPr>
              <w:t>видеолекций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медиаданных</w:t>
            </w:r>
            <w:proofErr w:type="spellEnd"/>
            <w:r>
              <w:rPr>
                <w:sz w:val="24"/>
                <w:szCs w:val="24"/>
              </w:rPr>
              <w:t>, видеоданных,</w:t>
            </w:r>
            <w:r>
              <w:rPr>
                <w:sz w:val="24"/>
                <w:szCs w:val="24"/>
              </w:rPr>
              <w:br/>
              <w:t>в виде перечня действующих ссылок на учебные издания,</w:t>
            </w:r>
            <w:r>
              <w:rPr>
                <w:sz w:val="24"/>
                <w:szCs w:val="24"/>
              </w:rPr>
              <w:br/>
              <w:t>на информационные ресурсы, справочные и вспомогательные материалы, на</w:t>
            </w:r>
            <w:r>
              <w:rPr>
                <w:sz w:val="24"/>
                <w:szCs w:val="24"/>
              </w:rPr>
              <w:t>ходящихся</w:t>
            </w:r>
            <w:r>
              <w:rPr>
                <w:sz w:val="24"/>
                <w:szCs w:val="24"/>
              </w:rPr>
              <w:br/>
              <w:t xml:space="preserve">в открытом доступе в сети Интернет и т. д. </w:t>
            </w:r>
          </w:p>
        </w:tc>
        <w:tc>
          <w:tcPr>
            <w:tcW w:w="2535" w:type="dxa"/>
          </w:tcPr>
          <w:p w:rsidR="00370582" w:rsidRDefault="00992262">
            <w:pPr>
              <w:spacing w:before="60" w:after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Практические, семинарские занятия</w:t>
            </w:r>
          </w:p>
          <w:p w:rsidR="00370582" w:rsidRDefault="00370582">
            <w:pPr>
              <w:spacing w:before="60" w:after="6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:rsidR="00370582" w:rsidRDefault="00992262">
            <w:pPr>
              <w:spacing w:before="60" w:after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Практические, семинарские занятия</w:t>
            </w:r>
          </w:p>
          <w:p w:rsidR="00370582" w:rsidRDefault="00370582">
            <w:pPr>
              <w:spacing w:before="60" w:after="6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370582" w:rsidRDefault="00992262">
            <w:pPr>
              <w:spacing w:before="60" w:after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Практические, семинарские занятия</w:t>
            </w:r>
          </w:p>
          <w:p w:rsidR="00370582" w:rsidRDefault="00370582">
            <w:pPr>
              <w:spacing w:before="60" w:after="6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370582" w:rsidRDefault="00992262">
            <w:pPr>
              <w:spacing w:before="60" w:after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практические работы</w:t>
            </w:r>
          </w:p>
          <w:p w:rsidR="00370582" w:rsidRDefault="00370582">
            <w:pPr>
              <w:spacing w:before="60" w:after="6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370582" w:rsidRDefault="00992262">
            <w:pPr>
              <w:spacing w:before="60" w:after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КИМ: интерактивные тесты, перечень вопросов, задач, заданий д</w:t>
            </w:r>
            <w:r>
              <w:rPr>
                <w:sz w:val="24"/>
                <w:szCs w:val="24"/>
              </w:rPr>
              <w:t>ля самоконтроля по учебному материалу модуля</w:t>
            </w:r>
          </w:p>
        </w:tc>
      </w:tr>
      <w:tr w:rsidR="00370582">
        <w:tc>
          <w:tcPr>
            <w:tcW w:w="3495" w:type="dxa"/>
            <w:vMerge/>
          </w:tcPr>
          <w:p w:rsidR="00370582" w:rsidRDefault="00370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370582" w:rsidRDefault="0099226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505" w:type="dxa"/>
          </w:tcPr>
          <w:p w:rsidR="00370582" w:rsidRDefault="0099226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</w:tcPr>
          <w:p w:rsidR="00370582" w:rsidRDefault="0099226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400" w:type="dxa"/>
          </w:tcPr>
          <w:p w:rsidR="00370582" w:rsidRDefault="0099226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2070" w:type="dxa"/>
            <w:vMerge/>
          </w:tcPr>
          <w:p w:rsidR="00370582" w:rsidRDefault="00370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0582">
        <w:tc>
          <w:tcPr>
            <w:tcW w:w="3495" w:type="dxa"/>
            <w:vMerge/>
          </w:tcPr>
          <w:p w:rsidR="00370582" w:rsidRDefault="00370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370582" w:rsidRDefault="0099226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Типовые расчеты, расчетные, расчетно-графические работы, рефераты</w:t>
            </w:r>
          </w:p>
          <w:p w:rsidR="00370582" w:rsidRDefault="0037058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:rsidR="00370582" w:rsidRDefault="0099226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Типовые расчеты, расчетные, расчетно-графические работы, рефераты</w:t>
            </w:r>
          </w:p>
        </w:tc>
        <w:tc>
          <w:tcPr>
            <w:tcW w:w="2385" w:type="dxa"/>
          </w:tcPr>
          <w:p w:rsidR="00370582" w:rsidRDefault="0099226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Рефераты</w:t>
            </w:r>
          </w:p>
          <w:p w:rsidR="00370582" w:rsidRDefault="0037058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370582" w:rsidRDefault="0037058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70582" w:rsidRDefault="00370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0582">
        <w:tc>
          <w:tcPr>
            <w:tcW w:w="3495" w:type="dxa"/>
            <w:vMerge/>
          </w:tcPr>
          <w:p w:rsidR="00370582" w:rsidRDefault="00370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370582" w:rsidRDefault="0037058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:rsidR="00370582" w:rsidRDefault="0037058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370582" w:rsidRDefault="0099226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2400" w:type="dxa"/>
          </w:tcPr>
          <w:p w:rsidR="00370582" w:rsidRDefault="0037058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70582" w:rsidRDefault="00370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sectPr w:rsidR="00370582">
          <w:pgSz w:w="16838" w:h="11906" w:orient="landscape"/>
          <w:pgMar w:top="1134" w:right="851" w:bottom="1134" w:left="851" w:header="720" w:footer="720" w:gutter="0"/>
          <w:pgNumType w:start="1"/>
          <w:cols w:space="720"/>
        </w:sectPr>
      </w:pPr>
    </w:p>
    <w:p w:rsidR="00370582" w:rsidRDefault="00992262">
      <w:pPr>
        <w:ind w:firstLine="708"/>
      </w:pPr>
      <w:r>
        <w:lastRenderedPageBreak/>
        <w:t>2.5. Основные структурные элементы модуля ЭОР:</w:t>
      </w:r>
    </w:p>
    <w:p w:rsidR="00370582" w:rsidRDefault="00992262">
      <w:r>
        <w:t>2.5.1. Теоретический материал:</w:t>
      </w:r>
    </w:p>
    <w:p w:rsidR="00370582" w:rsidRDefault="00992262">
      <w:r>
        <w:t xml:space="preserve">– материалы, необходимые для изучения тем (разделов), модуля ЭОР. Теоретические материалы могут включать: материалы лекционных занятий, представленные в виде текстовых форматов, слайдов, презентаций, </w:t>
      </w:r>
      <w:proofErr w:type="spellStart"/>
      <w:r>
        <w:t>видеолекций</w:t>
      </w:r>
      <w:proofErr w:type="spellEnd"/>
      <w:r>
        <w:t xml:space="preserve">, </w:t>
      </w:r>
      <w:proofErr w:type="spellStart"/>
      <w:r>
        <w:t>медиаданных</w:t>
      </w:r>
      <w:proofErr w:type="spellEnd"/>
      <w:r>
        <w:t>, видеоданных; действующие ссылк</w:t>
      </w:r>
      <w:r>
        <w:t xml:space="preserve">и на учебные издания, информационные ресурсы, справочные и вспомогательные материалы, находящиеся в библиотеке БГУИР или открытом доступе в сети Интернет и т. д. </w:t>
      </w:r>
    </w:p>
    <w:p w:rsidR="00370582" w:rsidRDefault="00992262">
      <w:r>
        <w:t xml:space="preserve">2.5.2. Практическая часть: </w:t>
      </w:r>
    </w:p>
    <w:p w:rsidR="00370582" w:rsidRDefault="00992262">
      <w:r>
        <w:t>– разрабатывается по каждой форме обучения на основании учебно-пр</w:t>
      </w:r>
      <w:r>
        <w:t>ограммной документации. Наименование и количество элементов практической части (обязательных видов учебной деятельности обучающегося) определяется учебными планами для соответствующей формы получения образования. Содержание видов учебной деятельности обуча</w:t>
      </w:r>
      <w:r>
        <w:t>ющегося определяется учебной программой учебной дисциплины (учебно-методических карт для соответствующей формы обучения). В зависимости от формы получения образования практическая часть может включать следующие элементы:</w:t>
      </w:r>
    </w:p>
    <w:p w:rsidR="00370582" w:rsidRDefault="00992262">
      <w:pPr>
        <w:rPr>
          <w:strike/>
        </w:rPr>
      </w:pPr>
      <w:r>
        <w:t>2.5.2.1. Практические и семинарские</w:t>
      </w:r>
      <w:r>
        <w:t xml:space="preserve"> занятия (ПЗ). Могут включать в себя перечень рефератов, варианты заданий (задач), примеры их решений, «кейсы», методические материалы, учебные и справочные издания (ссылки на учебные и справочные издания, находящиеся в открытом доступе в сети Интернет), д</w:t>
      </w:r>
      <w:r>
        <w:t xml:space="preserve">ля подготовки и выполнения ПЗ и т. д. </w:t>
      </w:r>
    </w:p>
    <w:p w:rsidR="00370582" w:rsidRDefault="00992262">
      <w:pPr>
        <w:rPr>
          <w:strike/>
        </w:rPr>
      </w:pPr>
      <w:r>
        <w:t>2.5.2.2. Лабораторные работы (ЛР). ЛР могут включать в себя варианты заданий, алгоритм и примеры выполнения, методические рекомендации, учебные и справочные издания (ссылки на учебные и справочные издания, находящиеся</w:t>
      </w:r>
      <w:r>
        <w:t xml:space="preserve"> в библиотеке БГУИР или открытом доступе в сети Интернет), требования к оформлению отчета и т. д. </w:t>
      </w:r>
    </w:p>
    <w:p w:rsidR="00370582" w:rsidRDefault="00992262">
      <w:r>
        <w:t>2.5.2.3. Индивидуальные</w:t>
      </w:r>
      <w:r>
        <w:rPr>
          <w:sz w:val="4"/>
          <w:szCs w:val="4"/>
        </w:rPr>
        <w:t xml:space="preserve"> </w:t>
      </w:r>
      <w:r>
        <w:t>практические</w:t>
      </w:r>
      <w:r>
        <w:rPr>
          <w:sz w:val="16"/>
          <w:szCs w:val="16"/>
        </w:rPr>
        <w:t xml:space="preserve"> </w:t>
      </w:r>
      <w:r>
        <w:t>работы</w:t>
      </w:r>
      <w:r>
        <w:rPr>
          <w:sz w:val="16"/>
          <w:szCs w:val="16"/>
        </w:rPr>
        <w:t xml:space="preserve"> </w:t>
      </w:r>
      <w:r>
        <w:t>(ИПР). ИПР</w:t>
      </w:r>
      <w:r>
        <w:rPr>
          <w:sz w:val="16"/>
          <w:szCs w:val="16"/>
        </w:rPr>
        <w:t xml:space="preserve"> </w:t>
      </w:r>
      <w:r>
        <w:t>могут включать в себя варианты заданий, примеры их выполнения, методические рекомендации, учебные и сп</w:t>
      </w:r>
      <w:r>
        <w:t>равочные издания (ссылки на учебные и справочные издания, находящиеся</w:t>
      </w:r>
      <w:r>
        <w:rPr>
          <w:sz w:val="8"/>
          <w:szCs w:val="8"/>
        </w:rPr>
        <w:t xml:space="preserve"> </w:t>
      </w:r>
      <w:r>
        <w:t>в</w:t>
      </w:r>
      <w:r>
        <w:rPr>
          <w:sz w:val="10"/>
          <w:szCs w:val="10"/>
        </w:rPr>
        <w:t xml:space="preserve"> </w:t>
      </w:r>
      <w:r>
        <w:t>открытом</w:t>
      </w:r>
      <w:r>
        <w:rPr>
          <w:sz w:val="10"/>
          <w:szCs w:val="10"/>
        </w:rPr>
        <w:t xml:space="preserve"> </w:t>
      </w:r>
      <w:r>
        <w:t>доступе</w:t>
      </w:r>
      <w:r>
        <w:rPr>
          <w:sz w:val="2"/>
          <w:szCs w:val="2"/>
        </w:rPr>
        <w:t xml:space="preserve"> </w:t>
      </w:r>
      <w:r>
        <w:t>в</w:t>
      </w:r>
      <w:r>
        <w:rPr>
          <w:sz w:val="12"/>
          <w:szCs w:val="12"/>
        </w:rPr>
        <w:t xml:space="preserve"> </w:t>
      </w:r>
      <w:r>
        <w:t>сети</w:t>
      </w:r>
      <w:r>
        <w:rPr>
          <w:sz w:val="14"/>
          <w:szCs w:val="14"/>
        </w:rPr>
        <w:t xml:space="preserve"> </w:t>
      </w:r>
      <w:r>
        <w:t>Интернет),</w:t>
      </w:r>
      <w:r>
        <w:rPr>
          <w:sz w:val="6"/>
          <w:szCs w:val="6"/>
        </w:rPr>
        <w:t xml:space="preserve"> </w:t>
      </w:r>
      <w:r>
        <w:t>требования</w:t>
      </w:r>
      <w:r>
        <w:rPr>
          <w:sz w:val="2"/>
          <w:szCs w:val="2"/>
        </w:rPr>
        <w:t xml:space="preserve"> </w:t>
      </w:r>
      <w:r>
        <w:t>к</w:t>
      </w:r>
      <w:r>
        <w:rPr>
          <w:sz w:val="4"/>
          <w:szCs w:val="4"/>
        </w:rPr>
        <w:t xml:space="preserve"> </w:t>
      </w:r>
      <w:r>
        <w:t>оформлению</w:t>
      </w:r>
      <w:r>
        <w:rPr>
          <w:sz w:val="14"/>
          <w:szCs w:val="14"/>
        </w:rPr>
        <w:t xml:space="preserve"> </w:t>
      </w:r>
      <w:r>
        <w:t>и</w:t>
      </w:r>
      <w:r>
        <w:rPr>
          <w:sz w:val="12"/>
          <w:szCs w:val="12"/>
        </w:rPr>
        <w:t> </w:t>
      </w:r>
      <w:r>
        <w:t>т.</w:t>
      </w:r>
      <w:r>
        <w:rPr>
          <w:sz w:val="14"/>
          <w:szCs w:val="14"/>
        </w:rPr>
        <w:t xml:space="preserve"> </w:t>
      </w:r>
      <w:r>
        <w:t>д.</w:t>
      </w:r>
    </w:p>
    <w:p w:rsidR="00370582" w:rsidRDefault="00992262">
      <w:r>
        <w:t>2.5.2.4. Контрольные работы (КР). КР могут включать в себя варианты заданий, примеры их выполнения, методические реко</w:t>
      </w:r>
      <w:r>
        <w:t>мендации, учебные и справочные издания (ссылки на учебные и справочные издания, находящиеся в библиотеке БГУИР или открытом доступе в сети Интернет) и т. д.</w:t>
      </w:r>
    </w:p>
    <w:p w:rsidR="00370582" w:rsidRDefault="00992262">
      <w:pPr>
        <w:ind w:firstLine="720"/>
      </w:pPr>
      <w:r>
        <w:t>2.5.2.5. Типовые расчеты, расчетные, расчетно-графические работы, рефераты. Могут включать в себя в</w:t>
      </w:r>
      <w:r>
        <w:t>арианты заданий, примеры их выполнения, методические рекомендации, учебные и справочные издания (ссылки на учебные и справочные издания, находящиеся в библиотеке БГУИР или в открытом доступе в сети Интернет) требования к оформлению и т. д.</w:t>
      </w:r>
    </w:p>
    <w:p w:rsidR="00370582" w:rsidRDefault="00992262">
      <w:r>
        <w:t>2.5.3. Раздел ко</w:t>
      </w:r>
      <w:r>
        <w:t>нтроля знаний (КИМ). Включают интерактивные тесты; могут включать в себя перечень вопросов, задач, заданий для самоконтроля, контроля уровня формирования знаний, умений и навыков по учебному материалу модуля в СЭО, перечень контрольных вопросов по модулю.</w:t>
      </w:r>
    </w:p>
    <w:p w:rsidR="00370582" w:rsidRDefault="00992262">
      <w:pPr>
        <w:rPr>
          <w:i/>
          <w:sz w:val="22"/>
          <w:szCs w:val="22"/>
        </w:rPr>
      </w:pPr>
      <w:r>
        <w:lastRenderedPageBreak/>
        <w:t>2.6. Структурные элементы модулей ЭОР разрабатываются в форматах, поддерживаемых СЭО (веб-страницы, документы форматов *.</w:t>
      </w:r>
      <w:proofErr w:type="spellStart"/>
      <w:r>
        <w:t>docx</w:t>
      </w:r>
      <w:proofErr w:type="spellEnd"/>
      <w:r>
        <w:t>, *.</w:t>
      </w:r>
      <w:proofErr w:type="spellStart"/>
      <w:r>
        <w:t>pdf</w:t>
      </w:r>
      <w:proofErr w:type="spellEnd"/>
      <w:r>
        <w:t>., *.</w:t>
      </w:r>
      <w:proofErr w:type="spellStart"/>
      <w:r>
        <w:t>pptx</w:t>
      </w:r>
      <w:proofErr w:type="spellEnd"/>
      <w:r>
        <w:t xml:space="preserve">, изображения, встроенные форматы СЭО и др.). </w:t>
      </w:r>
    </w:p>
    <w:p w:rsidR="00370582" w:rsidRDefault="00992262">
      <w:r>
        <w:t>2.6.1. Формы представления теоретического материала в модуле ЭОР:</w:t>
      </w:r>
    </w:p>
    <w:p w:rsidR="00370582" w:rsidRDefault="00992262">
      <w:r>
        <w:t>– </w:t>
      </w:r>
      <w:r>
        <w:t>лекционные материалы (рекомендуемый объем материала для 2-часовой лекции составляет от 5 до 15 страниц формата А4);</w:t>
      </w:r>
    </w:p>
    <w:p w:rsidR="00370582" w:rsidRDefault="00992262">
      <w:r>
        <w:t>– видеоматериалы;</w:t>
      </w:r>
    </w:p>
    <w:p w:rsidR="00370582" w:rsidRDefault="00992262">
      <w:pPr>
        <w:rPr>
          <w:strike/>
        </w:rPr>
      </w:pPr>
      <w:r>
        <w:t>– ссылки на разделы и отдельные темы в учебных изданиях, имеющихся в библиотеке БГУИР или в открытом доступе сети Интернет</w:t>
      </w:r>
      <w:r>
        <w:t>;</w:t>
      </w:r>
    </w:p>
    <w:p w:rsidR="00370582" w:rsidRDefault="00992262">
      <w:pPr>
        <w:rPr>
          <w:highlight w:val="yellow"/>
        </w:rPr>
      </w:pPr>
      <w:r>
        <w:t>– оцифрованные учебные издания, официально утвержденные или допущенные в качестве соответствующего вида учебного издания Министерством образования Республики Беларусь (за исключением учебных изданий, содержащих государственные секреты), рекомендованные у</w:t>
      </w:r>
      <w:r>
        <w:t>чреждениями образования, организациями, реализующими образовательные программы послевузовского образования, учебно-методическими объединениями в сфере образования, организациями, осуществляющими научно-методическое обеспечение образования;</w:t>
      </w:r>
    </w:p>
    <w:p w:rsidR="00370582" w:rsidRDefault="00992262">
      <w:r>
        <w:t>– справочные и в</w:t>
      </w:r>
      <w:r>
        <w:t>спомогательные материалы или ссылки на них, а также ссылки на другие электронные ресурсы.</w:t>
      </w:r>
    </w:p>
    <w:p w:rsidR="00370582" w:rsidRDefault="00992262">
      <w:r>
        <w:t>2.6.2. Формы представления материалов для практических и семинарских занятий:</w:t>
      </w:r>
    </w:p>
    <w:p w:rsidR="00370582" w:rsidRDefault="00992262">
      <w:r>
        <w:t>– методические материалы,</w:t>
      </w:r>
      <w:r>
        <w:rPr>
          <w:i/>
        </w:rPr>
        <w:t xml:space="preserve"> </w:t>
      </w:r>
      <w:r>
        <w:t>учебные издания (ссылки на учебные и справочные издания, наход</w:t>
      </w:r>
      <w:r>
        <w:t>ящиеся в библиотеке БГУИР или в открытом доступе в сети Интернет) для подготовки к практическим занятиям;</w:t>
      </w:r>
    </w:p>
    <w:p w:rsidR="00370582" w:rsidRDefault="00992262">
      <w:r>
        <w:t>– варианты задач (заданий, проектов, ситуационных кейсов) различного уровня сложности для самостоятельного решения;</w:t>
      </w:r>
    </w:p>
    <w:p w:rsidR="00370582" w:rsidRDefault="00992262">
      <w:r>
        <w:t>– примеры решения задач (заданий, проектов, ситуационных кейсов);</w:t>
      </w:r>
    </w:p>
    <w:p w:rsidR="00370582" w:rsidRDefault="00992262">
      <w:r>
        <w:t>– необходимые справочные и вспомогательные материалы или ссылки на них, а также другие электронные ресурсы для выполнения практических занятий.</w:t>
      </w:r>
    </w:p>
    <w:p w:rsidR="00370582" w:rsidRDefault="00992262">
      <w:r>
        <w:t>2.6.3. Формы представления материалов для лабо</w:t>
      </w:r>
      <w:r>
        <w:t>раторных работ:</w:t>
      </w:r>
    </w:p>
    <w:p w:rsidR="00370582" w:rsidRDefault="00992262">
      <w:r>
        <w:t>– методические указания, учебные и справочные издания (ссылки на учебные и справочные издания, находящиеся в библиотеке БГУИР или в открытом доступе в сети Интернет) для выполнения лабораторных работ;</w:t>
      </w:r>
    </w:p>
    <w:p w:rsidR="00370582" w:rsidRDefault="00992262">
      <w:r>
        <w:t>– варианты заданий для выполнения лабор</w:t>
      </w:r>
      <w:r>
        <w:t>аторных работ;</w:t>
      </w:r>
    </w:p>
    <w:p w:rsidR="00370582" w:rsidRDefault="00992262">
      <w:r>
        <w:t>– алгоритмы и примеры выполнения лабораторных работ;</w:t>
      </w:r>
    </w:p>
    <w:p w:rsidR="00370582" w:rsidRDefault="00992262">
      <w:r>
        <w:t>– требования к оформлению отчетов;</w:t>
      </w:r>
    </w:p>
    <w:p w:rsidR="00370582" w:rsidRDefault="00992262">
      <w:r>
        <w:t>– контрольные вопросы для защиты лабораторных работ;</w:t>
      </w:r>
    </w:p>
    <w:p w:rsidR="00370582" w:rsidRDefault="00992262">
      <w:r>
        <w:t xml:space="preserve">– тесты (тестовые задания) для защиты лабораторных работ; </w:t>
      </w:r>
    </w:p>
    <w:p w:rsidR="00370582" w:rsidRDefault="00992262">
      <w:r>
        <w:t xml:space="preserve">– программное обеспечение для выполнения </w:t>
      </w:r>
      <w:r>
        <w:t>лабораторных работ или ссылки не него;</w:t>
      </w:r>
    </w:p>
    <w:p w:rsidR="00370582" w:rsidRDefault="00992262">
      <w:r>
        <w:t>– перечень лабораторного оборудования, материалов и др.</w:t>
      </w:r>
    </w:p>
    <w:p w:rsidR="00370582" w:rsidRDefault="00992262">
      <w:r>
        <w:t>2.6.4. Формы представления материалов для индивидуальных практических работ:</w:t>
      </w:r>
    </w:p>
    <w:p w:rsidR="00370582" w:rsidRDefault="00992262">
      <w:r>
        <w:lastRenderedPageBreak/>
        <w:t>– методические указания, учебные и справочные издания (ссылки на учебные и справочны</w:t>
      </w:r>
      <w:r>
        <w:t>е издания, находящиеся в библиотеке БГУИР или в открытом доступе в сети Интернет) для выполнения ИПР;</w:t>
      </w:r>
    </w:p>
    <w:p w:rsidR="00370582" w:rsidRDefault="00992262">
      <w:r>
        <w:t>– варианты заданий для выполнения ИПР;</w:t>
      </w:r>
    </w:p>
    <w:p w:rsidR="00370582" w:rsidRDefault="00992262">
      <w:r>
        <w:t>– алгоритмы и примеры выполнения ИПР;</w:t>
      </w:r>
    </w:p>
    <w:p w:rsidR="00370582" w:rsidRDefault="00992262">
      <w:r>
        <w:t>– требования к оформлению ИПР;</w:t>
      </w:r>
    </w:p>
    <w:p w:rsidR="00370582" w:rsidRDefault="00992262">
      <w:r>
        <w:t>– контрольные вопросы для отчета по ИПР;</w:t>
      </w:r>
    </w:p>
    <w:p w:rsidR="00370582" w:rsidRDefault="00992262">
      <w:r>
        <w:t>– тес</w:t>
      </w:r>
      <w:r>
        <w:t xml:space="preserve">ты (тестовые задания) для отчета по ИПР. </w:t>
      </w:r>
    </w:p>
    <w:p w:rsidR="00370582" w:rsidRDefault="00992262">
      <w:r>
        <w:t>2.6.5. Формы представления материалов для контрольных работ:</w:t>
      </w:r>
    </w:p>
    <w:p w:rsidR="00370582" w:rsidRDefault="00992262">
      <w:r>
        <w:t>– методические указания, учебные и справочные издания (ссылки на учебные и справочные издания, находящиеся в библиотеке БГУИР или в открытом доступе в се</w:t>
      </w:r>
      <w:r>
        <w:t>ти Интернет) для выполнения КР;</w:t>
      </w:r>
    </w:p>
    <w:p w:rsidR="00370582" w:rsidRDefault="00992262">
      <w:r>
        <w:t>– варианты заданий для выполнения КР;</w:t>
      </w:r>
    </w:p>
    <w:p w:rsidR="00370582" w:rsidRDefault="00992262">
      <w:r>
        <w:t>– алгоритмы и примеры решения заданий для КР;</w:t>
      </w:r>
    </w:p>
    <w:p w:rsidR="00370582" w:rsidRDefault="00992262">
      <w:r>
        <w:t xml:space="preserve">– тесты (тестовые задания) для выполнения КР. </w:t>
      </w:r>
    </w:p>
    <w:p w:rsidR="00370582" w:rsidRDefault="00992262">
      <w:r>
        <w:t>2.6.6. Формы представления материалов для выполнения типовых расчетов, расчетных, расчетно-гр</w:t>
      </w:r>
      <w:r>
        <w:t>афических работ, рефератов:</w:t>
      </w:r>
    </w:p>
    <w:p w:rsidR="00370582" w:rsidRDefault="00992262">
      <w:r>
        <w:t>– методические указания, учебные и справочные издания (ссылки на учебные и справочные издания, находящиеся в библиотеке БГУИР или в открытом доступе в сети Интернет) для их выполнения;</w:t>
      </w:r>
    </w:p>
    <w:p w:rsidR="00370582" w:rsidRDefault="00992262">
      <w:r>
        <w:t>– варианты заданий для выполнения типовых р</w:t>
      </w:r>
      <w:r>
        <w:t>асчетов, расчетных, расчетно-графических работ;</w:t>
      </w:r>
    </w:p>
    <w:p w:rsidR="00370582" w:rsidRDefault="00992262">
      <w:r>
        <w:t>– темы рефератов;</w:t>
      </w:r>
    </w:p>
    <w:p w:rsidR="00370582" w:rsidRDefault="00992262">
      <w:r>
        <w:t>– алгоритмы и примеры выполнения типовых расчетов, расчетных, расчетно-графических работ;</w:t>
      </w:r>
    </w:p>
    <w:p w:rsidR="00370582" w:rsidRDefault="00992262">
      <w:r>
        <w:t>– требования к оформлению отчетов типовых расчетов, расчетных, расчетно-графических работ, рефератов.</w:t>
      </w:r>
    </w:p>
    <w:p w:rsidR="00370582" w:rsidRDefault="00992262">
      <w:r>
        <w:t>2.6.7. Формы представления материалов по курсовому проектированию:</w:t>
      </w:r>
    </w:p>
    <w:p w:rsidR="00370582" w:rsidRDefault="00992262">
      <w:r>
        <w:t>– перечень тем курсового проектирования;</w:t>
      </w:r>
    </w:p>
    <w:p w:rsidR="00370582" w:rsidRDefault="00992262">
      <w:r>
        <w:t>– методические рекомендации по выполнению курс</w:t>
      </w:r>
      <w:r>
        <w:t>ового проекта (работы);</w:t>
      </w:r>
    </w:p>
    <w:p w:rsidR="00370582" w:rsidRDefault="00992262">
      <w:r>
        <w:t>– учебные и справочные издания (ссылки на учебные и справочные издания, находящиеся в библиотеке БГУИР или в открытом доступе в сети Интернет);</w:t>
      </w:r>
    </w:p>
    <w:p w:rsidR="00370582" w:rsidRDefault="00992262">
      <w:r>
        <w:t>– требования к оформлению курсового проекта (работы).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</w:pPr>
      <w:r>
        <w:t>2.6.8. Формы представления материалов для проведения промежуточной аттестации по учебной дисциплине:</w:t>
      </w:r>
    </w:p>
    <w:p w:rsidR="00370582" w:rsidRDefault="00992262">
      <w:r>
        <w:t>– требования по допуску обучающегося к промежуточной аттестации;</w:t>
      </w:r>
    </w:p>
    <w:p w:rsidR="00370582" w:rsidRDefault="00992262">
      <w:pPr>
        <w:rPr>
          <w:color w:val="000000"/>
        </w:rPr>
      </w:pPr>
      <w:r>
        <w:t>– примерный перечень вопросов, вариантов заданий, включенных в билеты по соответствующей ф</w:t>
      </w:r>
      <w:r>
        <w:t>орме промежуточной аттестации;</w:t>
      </w:r>
    </w:p>
    <w:p w:rsidR="00370582" w:rsidRDefault="00992262">
      <w:r>
        <w:t xml:space="preserve">– примеры тестов (тестовых заданий), используемых для проведения промежуточной аттестации. </w:t>
      </w:r>
    </w:p>
    <w:p w:rsidR="00370582" w:rsidRDefault="00992262">
      <w:r>
        <w:t>2.6.9. Формы представления КИМ:</w:t>
      </w:r>
    </w:p>
    <w:p w:rsidR="00370582" w:rsidRDefault="00992262">
      <w:r>
        <w:t>– интерактивные тесты;</w:t>
      </w:r>
    </w:p>
    <w:p w:rsidR="00370582" w:rsidRDefault="00992262">
      <w:r>
        <w:t>– контрольные вопросы;</w:t>
      </w:r>
    </w:p>
    <w:p w:rsidR="00370582" w:rsidRDefault="00992262">
      <w:r>
        <w:lastRenderedPageBreak/>
        <w:t>– контрольные задания.</w:t>
      </w:r>
    </w:p>
    <w:p w:rsidR="00370582" w:rsidRDefault="00992262">
      <w:pPr>
        <w:ind w:firstLine="720"/>
      </w:pPr>
      <w:r>
        <w:t>Для обеспечения самоконтроля и к</w:t>
      </w:r>
      <w:r>
        <w:t>онтроля знаний, умений и навыков по учебному материалу части ЭОР и ЭОР разрабатываются интерактивные тестовые задания. Одно тестовое задание включает не менее 10 вопросов. Количество вопросов, из которых формируются тестовые задания, определяется составите</w:t>
      </w:r>
      <w:r>
        <w:t>лями, но не менее 30 обязательных вопросов по каждому модулю ЭОР. Допустимые типы обязательных вопросов и их количественные характеристики представлены в Приложении 1. Количество и тип дополнительных вопросов не ограничены. Варианты тестовых заданий генери</w:t>
      </w:r>
      <w:r>
        <w:t>руются автоматически случайным образом.</w:t>
      </w:r>
    </w:p>
    <w:p w:rsidR="00370582" w:rsidRDefault="00992262">
      <w:pPr>
        <w:ind w:firstLine="720"/>
      </w:pPr>
      <w:r>
        <w:t>2.7. В методических указаниях по изучению модуля ЭОР: излагаются технологии, методы и приемы изучения дисциплины, желательно обратить внимание на наиболее важные положения, указать способы изучения сложного материала</w:t>
      </w:r>
      <w:r>
        <w:t>, показать связь изучаемой дисциплины с изученными ранее. Акцентировать внимание студентов на практическую значимость отдельных разделов, место дисциплины в формировании компетентного специалиста.</w:t>
      </w:r>
    </w:p>
    <w:p w:rsidR="00370582" w:rsidRDefault="00992262">
      <w:r>
        <w:t>2.8. В модуле ЭОР, части ЭОР, ЭОР дополнительно могут разме</w:t>
      </w:r>
      <w:r>
        <w:t>щаться следующие материалы: глоссарий, аннотированная библиография, видеофрагменты, анимационные последовательности, хрестоматия, дополнительная литература, справочники, материалы из смежных курсов.</w:t>
      </w:r>
    </w:p>
    <w:p w:rsidR="00370582" w:rsidRDefault="00992262">
      <w:r>
        <w:t>2.9. Решением ректора для учебных дисциплин специальносте</w:t>
      </w:r>
      <w:r>
        <w:t>й магистратуры структура ЭОР и порядок осуществления материального стимулирования могут быть изменены.</w:t>
      </w:r>
    </w:p>
    <w:p w:rsidR="00370582" w:rsidRDefault="00370582"/>
    <w:p w:rsidR="00370582" w:rsidRDefault="00992262">
      <w:pPr>
        <w:pStyle w:val="1"/>
      </w:pPr>
      <w:bookmarkStart w:id="2" w:name="_1fob9te" w:colFirst="0" w:colLast="0"/>
      <w:bookmarkEnd w:id="2"/>
      <w:r>
        <w:t>3. ПОРЯДОК РАЗРАБОТКИ, РАЗМЕЩЕНИЯ, АКТУАЛИЗАЦИИ ЭОР</w:t>
      </w:r>
      <w:r>
        <w:br/>
        <w:t>В СЭО.</w:t>
      </w:r>
    </w:p>
    <w:p w:rsidR="00370582" w:rsidRDefault="00992262">
      <w:r>
        <w:t>3.1. План разработки ЭОР формируется ежегодно и утверждается ректором университета.</w:t>
      </w:r>
    </w:p>
    <w:p w:rsidR="00370582" w:rsidRDefault="00992262">
      <w:r>
        <w:t>3.2. Разр</w:t>
      </w:r>
      <w:r>
        <w:t>аботка ЭОР по учебной дисциплине и размещение его в СЭО организуется и осуществляется на кафедрах работниками из числа профессорско-преподавательского состава (далее – разработчиками) в соответствии с утвержденным планом разработки ЭОР. Заведующий кафедрой</w:t>
      </w:r>
      <w:r>
        <w:t xml:space="preserve"> включает данный вид работ в план работы кафедры, индивидуальные планы преподавателей в раздел «Научно-методическая работа».</w:t>
      </w:r>
    </w:p>
    <w:p w:rsidR="00370582" w:rsidRDefault="00992262">
      <w:pPr>
        <w:ind w:firstLine="708"/>
      </w:pPr>
      <w:r>
        <w:t>3.3. Разработчики ЭОР, ответственные за его актуализацию, заведующий кафедрой несут персональную ответственность за соответствие структуры и содержания ЭОР, размещенной в СЭО, требованиям учебно-программной документации, данного положения, нормативных прав</w:t>
      </w:r>
      <w:r>
        <w:t>овых документов, постоянное совершенствование форм представления информации и ежегодную актуализацию содержания ЭОР до начала образовательного процесса по учебной дисциплине.</w:t>
      </w:r>
    </w:p>
    <w:p w:rsidR="00370582" w:rsidRDefault="00992262">
      <w:pPr>
        <w:ind w:firstLine="708"/>
      </w:pPr>
      <w:r>
        <w:t>3.4. Размещение ЭОР и его настройка в СЭО осуществляется разработчиками в соответ</w:t>
      </w:r>
      <w:r>
        <w:t xml:space="preserve">ствии с инструкцией, регламентирующей алгоритм размещения ЭОР в СЭО. Инструкция разрабатывается работниками Центра развития дистанционного образования (далее – ЦРДО). Консультации </w:t>
      </w:r>
      <w:r>
        <w:lastRenderedPageBreak/>
        <w:t>разработчиков при размещении ЭОР в СЭО выполняются работниками ЦРДО (соответ</w:t>
      </w:r>
      <w:r>
        <w:t>ствующими его подразделениями в зависимости от тематики консультаций).</w:t>
      </w:r>
    </w:p>
    <w:p w:rsidR="00370582" w:rsidRDefault="00992262">
      <w:pPr>
        <w:ind w:firstLine="708"/>
      </w:pPr>
      <w:r>
        <w:t xml:space="preserve">3.5. Экспертиза размещенного в СЭО ЭОР на соответствие структуры </w:t>
      </w:r>
      <w:r>
        <w:rPr>
          <w:rFonts w:ascii="Gungsuh" w:eastAsia="Gungsuh" w:hAnsi="Gungsuh" w:cs="Gungsuh"/>
        </w:rPr>
        <w:t xml:space="preserve">ЭОР (части ЭОР) требованиям учебно-программной документации осуществляется работниками отдела методического обеспечения </w:t>
      </w:r>
      <w:r>
        <w:rPr>
          <w:rFonts w:ascii="Gungsuh" w:eastAsia="Gungsuh" w:hAnsi="Gungsuh" w:cs="Gungsuh"/>
        </w:rPr>
        <w:t xml:space="preserve">учебного процесса (далее − ОМОУП) после его размещения в СЭО на основании </w:t>
      </w:r>
      <w:r>
        <w:t>заявки от разработчиков ЭОР. Результаты экспертизы работники ОМОУП направляют разработчикам ЭОР. При наличии замечаний разработчики устраняют их и информацию об их устранении предста</w:t>
      </w:r>
      <w:r>
        <w:t>вляют в ОМОУП.</w:t>
      </w:r>
    </w:p>
    <w:p w:rsidR="00370582" w:rsidRDefault="00992262">
      <w:pPr>
        <w:ind w:firstLine="708"/>
      </w:pPr>
      <w:r>
        <w:t>3.6. Работники ЦРДО проводят экспертизу размещенного в СЭО ЭОР на соответствие структуре и техническим требованиям к размещению элементов ЭОР (Приложение 1). Результаты экспертизы направляются разработчикам ЭОР. При наличии замечаний разрабо</w:t>
      </w:r>
      <w:r>
        <w:t xml:space="preserve">тчики устраняют их и информацию об их устранении представляют в ЦРДО. </w:t>
      </w:r>
    </w:p>
    <w:p w:rsidR="00370582" w:rsidRDefault="00992262">
      <w:pPr>
        <w:ind w:firstLine="708"/>
        <w:rPr>
          <w:strike/>
        </w:rPr>
      </w:pPr>
      <w:r>
        <w:t xml:space="preserve">Общий срок устранения замечаний методической и технической экспертиз не должен превышать 30 календарных дней. </w:t>
      </w:r>
    </w:p>
    <w:p w:rsidR="00370582" w:rsidRDefault="00992262">
      <w:pPr>
        <w:ind w:firstLine="708"/>
      </w:pPr>
      <w:r>
        <w:t>3.7. При положительных результатах экспертиз работники ЦРДО оповещают разр</w:t>
      </w:r>
      <w:r>
        <w:t xml:space="preserve">аботчиков ЭОР. После успешного прохождения экспертиз всех частей ЭОР работники ЦРДО оповещают заведующего кафедрой для рекомендации ЭОР к утверждению на заседании кафедры. </w:t>
      </w:r>
    </w:p>
    <w:p w:rsidR="00370582" w:rsidRDefault="00992262">
      <w:pPr>
        <w:ind w:firstLine="708"/>
        <w:rPr>
          <w:strike/>
        </w:rPr>
      </w:pPr>
      <w:r>
        <w:t>При положительном решении кафедры заведующим кафедрой инициируется вопрос о рассмот</w:t>
      </w:r>
      <w:r>
        <w:t xml:space="preserve">рении и утверждении ЭОР на заседании Совета факультета. Секретарь Совета факультета после утверждения ЭОР направляет в ЦРДО информацию о дате заседания и регистрационном номере протокола не позднее 3-х рабочих дней с даты его проведения.  </w:t>
      </w:r>
    </w:p>
    <w:p w:rsidR="00370582" w:rsidRDefault="00992262">
      <w:pPr>
        <w:ind w:firstLine="708"/>
      </w:pPr>
      <w:r>
        <w:t>3.8. На основани</w:t>
      </w:r>
      <w:r>
        <w:t>и решения Совета факультета об утверждении работниками ЦРДО осуществляется регистрация ЭОР по учебной дисциплине в ИИС «Планирование и организация образовательного процесса» на базе платформы 1С с направлением разработчикам электронного свидетельства о рег</w:t>
      </w:r>
      <w:r>
        <w:t xml:space="preserve">истрации (приложение 2). </w:t>
      </w:r>
    </w:p>
    <w:p w:rsidR="00370582" w:rsidRDefault="00992262">
      <w:pPr>
        <w:ind w:firstLine="708"/>
      </w:pPr>
      <w:r>
        <w:t>3.9. После регистрации ЭОР работники ЦРДО открывают доступ к нему для всех авторизованных пользователей СЭО. ЭОР может использоваться в образовательном процессе при реализации образовательных программ по всем формам получения обра</w:t>
      </w:r>
      <w:r>
        <w:t>зования.</w:t>
      </w:r>
    </w:p>
    <w:p w:rsidR="00370582" w:rsidRDefault="00992262">
      <w:pPr>
        <w:ind w:firstLine="708"/>
      </w:pPr>
      <w:r>
        <w:t xml:space="preserve">3.10. Авторские неимущественные права принадлежат разработчикам ЭОР, а имущественные права принадлежат университету и учитываются в соответствии с Порядком учета нематериальных активов и объектов интеллектуальной собственности. </w:t>
      </w:r>
    </w:p>
    <w:p w:rsidR="00370582" w:rsidRDefault="00370582">
      <w:pPr>
        <w:ind w:firstLine="708"/>
      </w:pPr>
    </w:p>
    <w:p w:rsidR="00370582" w:rsidRDefault="00992262">
      <w:pPr>
        <w:pStyle w:val="1"/>
      </w:pPr>
      <w:bookmarkStart w:id="3" w:name="_wzsw2r2z4fuj" w:colFirst="0" w:colLast="0"/>
      <w:bookmarkEnd w:id="3"/>
      <w:r>
        <w:t>4. МАТЕРИАЛЬНОЕ С</w:t>
      </w:r>
      <w:r>
        <w:t>ТИМУЛИРОВАНИЕ ЗА РАЗРАБОТКУ ЭОР</w:t>
      </w:r>
    </w:p>
    <w:p w:rsidR="00370582" w:rsidRDefault="00992262">
      <w:r>
        <w:t>4.1. Разработка ЭОР осуществляется за счёт второй половины рабочего дня ППС.</w:t>
      </w:r>
    </w:p>
    <w:p w:rsidR="00370582" w:rsidRDefault="00992262">
      <w:r>
        <w:t xml:space="preserve">4.2. В случае разработки ЭОР на базе разработанного ранее мультимедийного курса (оплачиваемый дополнительно), сумма материального </w:t>
      </w:r>
      <w:r>
        <w:lastRenderedPageBreak/>
        <w:t>стимулирования ко</w:t>
      </w:r>
      <w:r>
        <w:t>рректируется с учетом коэффициента обновления содержания ЭОР, определяемого проректором.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4.3. </w:t>
      </w:r>
      <w:r>
        <w:rPr>
          <w:color w:val="000000"/>
        </w:rPr>
        <w:t>Порядок</w:t>
      </w:r>
      <w:r>
        <w:t xml:space="preserve"> материального </w:t>
      </w:r>
      <w:r>
        <w:rPr>
          <w:color w:val="000000"/>
        </w:rPr>
        <w:t>стимулирования педагогических работников за разработку ЭОР в обособленных структурных подразделениях (филиал «Минский радиотехнический колле</w:t>
      </w:r>
      <w:r>
        <w:rPr>
          <w:color w:val="000000"/>
        </w:rPr>
        <w:t xml:space="preserve">дж», «Институт информационных технологий БГУИР») </w:t>
      </w:r>
      <w:r>
        <w:t>определяется</w:t>
      </w:r>
      <w:r>
        <w:rPr>
          <w:color w:val="000000"/>
        </w:rPr>
        <w:t xml:space="preserve"> их </w:t>
      </w:r>
      <w:r>
        <w:t>руководителями</w:t>
      </w:r>
      <w:r>
        <w:rPr>
          <w:color w:val="000000"/>
        </w:rPr>
        <w:t>.</w:t>
      </w:r>
    </w:p>
    <w:p w:rsidR="00370582" w:rsidRDefault="00992262">
      <w:bookmarkStart w:id="4" w:name="_3znysh7" w:colFirst="0" w:colLast="0"/>
      <w:bookmarkEnd w:id="4"/>
      <w:r>
        <w:t>4.4. Материальное стимулирование ППС за разработку ЭОР осуществляется при соблюдении следующих условий:</w:t>
      </w:r>
    </w:p>
    <w:p w:rsidR="00370582" w:rsidRDefault="00992262">
      <w:bookmarkStart w:id="5" w:name="_hz7uogdtem3u" w:colFirst="0" w:colLast="0"/>
      <w:bookmarkEnd w:id="5"/>
      <w:r>
        <w:t>– ЭОР разработан в установленные сроки и зарегистрирован в установленно</w:t>
      </w:r>
      <w:r>
        <w:t xml:space="preserve">м порядке; </w:t>
      </w:r>
    </w:p>
    <w:p w:rsidR="00370582" w:rsidRDefault="00992262">
      <w:r>
        <w:t>– заведующим кафедрой направлена в адрес комиссии по определению размера надбавок за характер труда педагогическим работникам за выполнение отдельных видов работ докладная записка, в которой определены доли вознаграждения каждого разработчика.</w:t>
      </w:r>
    </w:p>
    <w:p w:rsidR="00370582" w:rsidRDefault="00992262">
      <w:pPr>
        <w:pStyle w:val="1"/>
        <w:jc w:val="both"/>
      </w:pPr>
      <w:bookmarkStart w:id="6" w:name="_2et92p0" w:colFirst="0" w:colLast="0"/>
      <w:bookmarkEnd w:id="6"/>
      <w:r>
        <w:t>4.5. Размер материального стимулирования разработчика ЭОР рассчитывается комиссией по определению размера надбавок за характер труда педагогическим работникам за выполнение отдельных видов работ по формуле:</w:t>
      </w:r>
    </w:p>
    <w:p w:rsidR="00370582" w:rsidRDefault="00992262">
      <w:pPr>
        <w:spacing w:before="200" w:after="200"/>
        <w:ind w:firstLine="0"/>
        <w:jc w:val="center"/>
      </w:pPr>
      <w:r>
        <w:t>С = БРВ × О × В × К,</w:t>
      </w:r>
    </w:p>
    <w:p w:rsidR="00370582" w:rsidRDefault="00992262">
      <w:pPr>
        <w:ind w:firstLine="0"/>
      </w:pPr>
      <w:r>
        <w:t xml:space="preserve">где С – итоговая сумма </w:t>
      </w:r>
      <w:r>
        <w:t xml:space="preserve">материального стимулирования авторов ЭОР; </w:t>
      </w:r>
      <w:r>
        <w:rPr>
          <w:color w:val="000000"/>
        </w:rPr>
        <w:t>БРВ</w:t>
      </w:r>
      <w:r>
        <w:t> </w:t>
      </w:r>
      <w:r>
        <w:rPr>
          <w:color w:val="000000"/>
        </w:rPr>
        <w:t xml:space="preserve">– базовая расчетная величина для материального </w:t>
      </w:r>
      <w:r>
        <w:t>стимулирования</w:t>
      </w:r>
      <w:r>
        <w:rPr>
          <w:color w:val="000000"/>
        </w:rPr>
        <w:t xml:space="preserve"> авторов ЭОР, </w:t>
      </w:r>
      <w:r>
        <w:t>предлагаемая комиссией по определению размера надбавок за характер труда педагогическим работникам за выполнение отдельных видов работ</w:t>
      </w:r>
      <w:r>
        <w:rPr>
          <w:color w:val="000000"/>
        </w:rPr>
        <w:t>;</w:t>
      </w:r>
      <w:r>
        <w:rPr>
          <w:color w:val="000000"/>
        </w:rPr>
        <w:t xml:space="preserve"> О</w:t>
      </w:r>
      <w:r>
        <w:t> </w:t>
      </w:r>
      <w:r>
        <w:rPr>
          <w:color w:val="000000"/>
        </w:rPr>
        <w:t>– множитель, учитывающ</w:t>
      </w:r>
      <w:r>
        <w:t>и</w:t>
      </w:r>
      <w:r>
        <w:rPr>
          <w:color w:val="000000"/>
        </w:rPr>
        <w:t>й объ</w:t>
      </w:r>
      <w:r>
        <w:t>ё</w:t>
      </w:r>
      <w:r>
        <w:rPr>
          <w:color w:val="000000"/>
        </w:rPr>
        <w:t>м учебной дисциплины в зачетных единицах</w:t>
      </w:r>
      <w:r>
        <w:t xml:space="preserve">; В – процентный вклад разработчика в разработку ЭОР; К – коэффициент, учитывающий формат представления материалов ЭОР </w:t>
      </w:r>
      <w:r>
        <w:t>(рассчитывается работниками ЦРДО, пример расчета приведен в приложении 4):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firstLine="0"/>
        <w:jc w:val="center"/>
      </w:pPr>
      <m:oMath>
        <m:r>
          <w:rPr>
            <w:rFonts w:ascii="Cambria Math" w:eastAsia="Cambria Math" w:hAnsi="Cambria Math" w:cs="Cambria Math"/>
            <w:color w:val="504C51"/>
          </w:rPr>
          <m:t>К=</m:t>
        </m:r>
        <m:f>
          <m:fPr>
            <m:ctrlPr>
              <w:rPr>
                <w:rFonts w:ascii="Cambria Math" w:eastAsia="Cambria Math" w:hAnsi="Cambria Math" w:cs="Cambria Math"/>
                <w:color w:val="504C51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504C51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color w:val="504C51"/>
              </w:rPr>
              <m:t>m</m:t>
            </m:r>
          </m:den>
        </m:f>
        <m:nary>
          <m:naryPr>
            <m:chr m:val="∑"/>
            <m:ctrlPr>
              <w:rPr>
                <w:rFonts w:ascii="Cambria Math" w:eastAsia="Cambria Math" w:hAnsi="Cambria Math" w:cs="Cambria Math"/>
                <w:color w:val="504C51"/>
              </w:rPr>
            </m:ctrlPr>
          </m:naryPr>
          <m:sub>
            <m:r>
              <w:rPr>
                <w:rFonts w:ascii="Cambria Math" w:eastAsia="Cambria Math" w:hAnsi="Cambria Math" w:cs="Cambria Math"/>
                <w:color w:val="504C51"/>
              </w:rPr>
              <m:t>i</m:t>
            </m:r>
            <m:r>
              <w:rPr>
                <w:rFonts w:ascii="Cambria Math" w:eastAsia="Cambria Math" w:hAnsi="Cambria Math" w:cs="Cambria Math"/>
                <w:color w:val="504C51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color w:val="504C51"/>
              </w:rPr>
              <m:t>m</m:t>
            </m:r>
          </m:sup>
          <m:e/>
        </m:nary>
        <m:sSub>
          <m:sSubPr>
            <m:ctrlPr>
              <w:rPr>
                <w:rFonts w:ascii="Cambria Math" w:eastAsia="Cambria Math" w:hAnsi="Cambria Math" w:cs="Cambria Math"/>
                <w:color w:val="504C51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504C51"/>
              </w:rPr>
              <m:t>К</m:t>
            </m:r>
          </m:e>
          <m:sub>
            <m:r>
              <w:rPr>
                <w:rFonts w:ascii="Cambria Math" w:eastAsia="Cambria Math" w:hAnsi="Cambria Math" w:cs="Cambria Math"/>
                <w:color w:val="504C51"/>
              </w:rPr>
              <m:t>mi</m:t>
            </m:r>
          </m:sub>
        </m:sSub>
      </m:oMath>
      <w:r>
        <w:rPr>
          <w:color w:val="504C51"/>
        </w:rPr>
        <w:t>,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firstLine="0"/>
        <w:rPr>
          <w:color w:val="000000"/>
        </w:rPr>
      </w:pPr>
      <w:r>
        <w:rPr>
          <w:color w:val="000000"/>
        </w:rPr>
        <w:t xml:space="preserve">где </w:t>
      </w:r>
      <w:r>
        <w:rPr>
          <w:i/>
          <w:color w:val="000000"/>
        </w:rPr>
        <w:t>m</w:t>
      </w:r>
      <w:r>
        <w:rPr>
          <w:color w:val="000000"/>
        </w:rPr>
        <w:t xml:space="preserve"> – количество модулей, </w:t>
      </w:r>
      <w:proofErr w:type="spellStart"/>
      <w:r>
        <w:t>К</w:t>
      </w:r>
      <w:r>
        <w:rPr>
          <w:i/>
          <w:color w:val="000000"/>
          <w:vertAlign w:val="subscript"/>
        </w:rPr>
        <w:t>mi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– коэффициент формата представления материалов модуля, </w:t>
      </w:r>
      <w:r>
        <w:t>рассчитывается как</w:t>
      </w:r>
      <w:r>
        <w:rPr>
          <w:color w:val="000000"/>
        </w:rPr>
        <w:t xml:space="preserve"> 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firstLine="0"/>
        <w:jc w:val="center"/>
      </w:pPr>
      <m:oMath>
        <m:sSub>
          <m:sSubPr>
            <m:ctrlPr>
              <w:rPr>
                <w:rFonts w:ascii="Cambria Math" w:eastAsia="Cambria Math" w:hAnsi="Cambria Math" w:cs="Cambria Math"/>
                <w:color w:val="504C51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504C51"/>
              </w:rPr>
              <m:t>К</m:t>
            </m:r>
          </m:e>
          <m:sub>
            <m:r>
              <w:rPr>
                <w:rFonts w:ascii="Cambria Math" w:eastAsia="Cambria Math" w:hAnsi="Cambria Math" w:cs="Cambria Math"/>
                <w:color w:val="504C51"/>
              </w:rPr>
              <m:t>mi</m:t>
            </m:r>
          </m:sub>
        </m:sSub>
        <m:r>
          <w:rPr>
            <w:rFonts w:ascii="Cambria Math" w:eastAsia="Cambria Math" w:hAnsi="Cambria Math" w:cs="Cambria Math"/>
            <w:color w:val="504C51"/>
          </w:rPr>
          <m:t>=</m:t>
        </m:r>
        <m:rad>
          <m:radPr>
            <m:ctrlPr>
              <w:rPr>
                <w:rFonts w:ascii="Cambria Math" w:eastAsia="Cambria Math" w:hAnsi="Cambria Math" w:cs="Cambria Math"/>
                <w:color w:val="504C51"/>
              </w:rPr>
            </m:ctrlPr>
          </m:radPr>
          <m:deg>
            <m:r>
              <w:rPr>
                <w:rFonts w:ascii="Cambria Math" w:eastAsia="Cambria Math" w:hAnsi="Cambria Math" w:cs="Cambria Math"/>
                <w:color w:val="504C51"/>
              </w:rPr>
              <m:t>n</m:t>
            </m:r>
          </m:deg>
          <m:e>
            <m:nary>
              <m:naryPr>
                <m:chr m:val="∏"/>
                <m:ctrlPr>
                  <w:rPr>
                    <w:rFonts w:ascii="Cambria Math" w:eastAsia="Cambria Math" w:hAnsi="Cambria Math" w:cs="Cambria Math"/>
                    <w:color w:val="504C51"/>
                  </w:rPr>
                </m:ctrlPr>
              </m:naryPr>
              <m:sub>
                <m:r>
                  <w:rPr>
                    <w:rFonts w:ascii="Cambria Math" w:eastAsia="Cambria Math" w:hAnsi="Cambria Math" w:cs="Cambria Math"/>
                    <w:color w:val="504C51"/>
                  </w:rPr>
                  <m:t>j</m:t>
                </m:r>
                <m:r>
                  <w:rPr>
                    <w:rFonts w:ascii="Cambria Math" w:eastAsia="Cambria Math" w:hAnsi="Cambria Math" w:cs="Cambria Math"/>
                    <w:color w:val="504C51"/>
                  </w:rPr>
                  <m:t>=1</m:t>
                </m:r>
              </m:sub>
              <m:sup>
                <m:r>
                  <w:rPr>
                    <w:rFonts w:ascii="Cambria Math" w:eastAsia="Cambria Math" w:hAnsi="Cambria Math" w:cs="Cambria Math"/>
                    <w:color w:val="504C51"/>
                  </w:rPr>
                  <m:t>n</m:t>
                </m:r>
              </m:sup>
              <m:e/>
            </m:nary>
            <m:sSub>
              <m:sSubPr>
                <m:ctrlPr>
                  <w:rPr>
                    <w:rFonts w:ascii="Cambria Math" w:eastAsia="Cambria Math" w:hAnsi="Cambria Math" w:cs="Cambria Math"/>
                    <w:color w:val="504C51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504C51"/>
                  </w:rPr>
                  <m:t>k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504C51"/>
                  </w:rPr>
                  <m:t>j</m:t>
                </m:r>
              </m:sub>
            </m:sSub>
          </m:e>
        </m:rad>
      </m:oMath>
      <w:r>
        <w:rPr>
          <w:i/>
          <w:color w:val="504C51"/>
        </w:rPr>
        <w:t xml:space="preserve"> </w:t>
      </w:r>
      <w:r>
        <w:rPr>
          <w:color w:val="504C51"/>
        </w:rPr>
        <w:t>,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firstLine="0"/>
        <w:rPr>
          <w:color w:val="000000"/>
        </w:rPr>
      </w:pPr>
      <w:r>
        <w:rPr>
          <w:color w:val="000000"/>
        </w:rPr>
        <w:t xml:space="preserve">где </w:t>
      </w:r>
      <w:r>
        <w:rPr>
          <w:i/>
          <w:color w:val="000000"/>
        </w:rPr>
        <w:t>n</w:t>
      </w:r>
      <w:r>
        <w:rPr>
          <w:color w:val="000000"/>
        </w:rPr>
        <w:t xml:space="preserve"> – количество обязательных эле</w:t>
      </w:r>
      <w:r>
        <w:rPr>
          <w:color w:val="000000"/>
        </w:rPr>
        <w:t xml:space="preserve">ментов модуля, </w:t>
      </w:r>
      <w:proofErr w:type="spellStart"/>
      <w:r>
        <w:rPr>
          <w:i/>
          <w:color w:val="000000"/>
        </w:rPr>
        <w:t>k</w:t>
      </w:r>
      <w:r>
        <w:rPr>
          <w:i/>
          <w:color w:val="000000"/>
          <w:vertAlign w:val="subscript"/>
        </w:rPr>
        <w:t>j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– коэффициент формата представления </w:t>
      </w:r>
      <w:r>
        <w:t>элемента:</w:t>
      </w:r>
    </w:p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firstLine="0"/>
      </w:pPr>
    </w:p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firstLine="0"/>
      </w:pPr>
    </w:p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firstLine="0"/>
      </w:pPr>
    </w:p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firstLine="0"/>
      </w:pP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firstLine="0"/>
      </w:pPr>
      <w:r>
        <w:t>Таблица 2. Коэффициент формата представления элемента</w:t>
      </w:r>
    </w:p>
    <w:tbl>
      <w:tblPr>
        <w:tblStyle w:val="a7"/>
        <w:tblW w:w="954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0"/>
        <w:gridCol w:w="3930"/>
      </w:tblGrid>
      <w:tr w:rsidR="00370582">
        <w:trPr>
          <w:trHeight w:val="808"/>
        </w:trPr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Формат элемента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Коэффициент, формата представления элемента</w:t>
            </w:r>
          </w:p>
        </w:tc>
      </w:tr>
      <w:tr w:rsidR="00370582">
        <w:trPr>
          <w:trHeight w:val="315"/>
        </w:trPr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Элемент «Страница» 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</w:tr>
      <w:tr w:rsidR="00370582">
        <w:trPr>
          <w:trHeight w:val="315"/>
        </w:trPr>
        <w:tc>
          <w:tcPr>
            <w:tcW w:w="5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left"/>
              <w:rPr>
                <w:color w:val="CC0000"/>
                <w:highlight w:val="white"/>
              </w:rPr>
            </w:pPr>
            <w:r>
              <w:rPr>
                <w:highlight w:val="white"/>
              </w:rPr>
              <w:t xml:space="preserve">Файл (PDF, документ </w:t>
            </w:r>
            <w:proofErr w:type="spellStart"/>
            <w:r>
              <w:rPr>
                <w:highlight w:val="white"/>
              </w:rPr>
              <w:t>Word</w:t>
            </w:r>
            <w:proofErr w:type="spellEnd"/>
            <w:r>
              <w:rPr>
                <w:highlight w:val="white"/>
              </w:rPr>
              <w:t>, презентация)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0,6</w:t>
            </w:r>
          </w:p>
        </w:tc>
      </w:tr>
      <w:tr w:rsidR="00370582">
        <w:trPr>
          <w:trHeight w:val="315"/>
        </w:trPr>
        <w:tc>
          <w:tcPr>
            <w:tcW w:w="5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left"/>
            </w:pPr>
            <w:r>
              <w:t xml:space="preserve">h5p </w:t>
            </w:r>
            <w:r>
              <w:t>(интерактивный контент)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</w:tr>
      <w:tr w:rsidR="00370582">
        <w:trPr>
          <w:trHeight w:val="315"/>
        </w:trPr>
        <w:tc>
          <w:tcPr>
            <w:tcW w:w="5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>Банк вопросов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</w:tr>
    </w:tbl>
    <w:p w:rsidR="00370582" w:rsidRDefault="00992262">
      <w:pPr>
        <w:spacing w:before="200"/>
      </w:pPr>
      <w:r>
        <w:t>Для расчета коэффициента, учитывающего формат представления материалов ЭОР, используются средства автоматизации СЭО БГУИР.</w:t>
      </w:r>
    </w:p>
    <w:p w:rsidR="00370582" w:rsidRDefault="00992262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7" w:name="_tyjcwt" w:colFirst="0" w:colLast="0"/>
      <w:bookmarkEnd w:id="7"/>
      <w:r>
        <w:t>4.6</w:t>
      </w:r>
      <w:r>
        <w:rPr>
          <w:color w:val="000000"/>
        </w:rPr>
        <w:t>.</w:t>
      </w:r>
      <w:r>
        <w:t> </w:t>
      </w:r>
      <w:r>
        <w:rPr>
          <w:color w:val="000000"/>
        </w:rPr>
        <w:t xml:space="preserve">Порядок принятия решения о </w:t>
      </w:r>
      <w:r>
        <w:t>материальном стимулировании</w:t>
      </w:r>
      <w:r>
        <w:rPr>
          <w:color w:val="000000"/>
        </w:rPr>
        <w:t xml:space="preserve"> за разработку ЭОР.</w:t>
      </w:r>
    </w:p>
    <w:p w:rsidR="00370582" w:rsidRDefault="00992262">
      <w:r>
        <w:t>Докладная записка по форме (Приложение 3) направляется посредством СМДО заведующим кафедрой в комиссию по определению размера надбавок за характер труда педагогическим работникам за выполнение отдельных видов работ не позднее 3 месяцев с момента регистраци</w:t>
      </w:r>
      <w:r>
        <w:t>и ЭОР.</w:t>
      </w:r>
    </w:p>
    <w:p w:rsidR="00370582" w:rsidRDefault="00992262">
      <w:r>
        <w:t>Организация расчета сумм материального стимулирования и представление предложений в комиссию по установлению выплат стимулирующего характера осуществляется комиссией по определению размера надбавок за характер труда педагогическим работникам за выпо</w:t>
      </w:r>
      <w:r>
        <w:t>лнение отдельных видов работ не реже одного раза в семестр.</w:t>
      </w:r>
    </w:p>
    <w:p w:rsidR="00370582" w:rsidRDefault="00992262">
      <w:pPr>
        <w:tabs>
          <w:tab w:val="left" w:pos="1244"/>
        </w:tabs>
      </w:pPr>
      <w:r>
        <w:t>Решение о материальном стимулировании разработчиков принимается комиссией по установлению выплат стимулирующего характера на основании предложений комиссии по определению размера надбавок за харак</w:t>
      </w:r>
      <w:r>
        <w:t>тер труда педагогическим работникам за выполнение отдельных видов работ.</w:t>
      </w:r>
    </w:p>
    <w:p w:rsidR="00370582" w:rsidRDefault="00992262">
      <w:pPr>
        <w:tabs>
          <w:tab w:val="left" w:pos="1244"/>
        </w:tabs>
      </w:pPr>
      <w:r>
        <w:t>Сведения о предлагаемых размерах надбавок направляются комиссией по определению размера надбавок за характер труда педагогическим работникам за выполнение отдельных видов работ заведу</w:t>
      </w:r>
      <w:r>
        <w:t>ющим кафедрами в недельный срок после ее заседания.</w:t>
      </w:r>
    </w:p>
    <w:p w:rsidR="00370582" w:rsidRDefault="00370582">
      <w:pPr>
        <w:tabs>
          <w:tab w:val="left" w:pos="1244"/>
        </w:tabs>
        <w:rPr>
          <w:highlight w:val="red"/>
        </w:rPr>
      </w:pPr>
    </w:p>
    <w:p w:rsidR="00370582" w:rsidRDefault="00992262">
      <w:pPr>
        <w:pStyle w:val="1"/>
      </w:pPr>
      <w:bookmarkStart w:id="8" w:name="_9d128hwshnnr" w:colFirst="0" w:colLast="0"/>
      <w:bookmarkEnd w:id="8"/>
      <w:r>
        <w:t>5. ЗАКЛЮЧИТЕЛЬНЫЕ ПОЛОЖЕНИЯ</w:t>
      </w:r>
    </w:p>
    <w:p w:rsidR="00370582" w:rsidRDefault="00992262">
      <w:pPr>
        <w:ind w:firstLine="708"/>
      </w:pPr>
      <w:r>
        <w:t>5.1. Положение вступает в силу с даты его утверждения.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5.2.</w:t>
      </w:r>
      <w:r>
        <w:t> </w:t>
      </w:r>
      <w:r>
        <w:rPr>
          <w:color w:val="000000"/>
        </w:rPr>
        <w:t>С даты утверждения настоящего Положения положение «Об электронном ресурсе по учебной дисциплине» (регистрационный н</w:t>
      </w:r>
      <w:r>
        <w:rPr>
          <w:color w:val="000000"/>
        </w:rPr>
        <w:t xml:space="preserve">омер </w:t>
      </w:r>
      <w:r>
        <w:t>6</w:t>
      </w:r>
      <w:r>
        <w:rPr>
          <w:color w:val="000000"/>
        </w:rPr>
        <w:t>), утвержденное 0</w:t>
      </w:r>
      <w:r>
        <w:t>4</w:t>
      </w:r>
      <w:r>
        <w:rPr>
          <w:color w:val="000000"/>
        </w:rPr>
        <w:t>.03.202</w:t>
      </w:r>
      <w:r>
        <w:t>4</w:t>
      </w:r>
      <w:r>
        <w:rPr>
          <w:color w:val="000000"/>
        </w:rPr>
        <w:t xml:space="preserve"> </w:t>
      </w:r>
      <w:r>
        <w:rPr>
          <w:color w:val="000000"/>
        </w:rPr>
        <w:t>ректором учреждения образования «Белорусский государственный университет информатики и радиоэлектроники», считать утратившим силу.</w:t>
      </w:r>
    </w:p>
    <w:p w:rsidR="00370582" w:rsidRDefault="00370582">
      <w:pPr>
        <w:ind w:firstLine="708"/>
      </w:pPr>
    </w:p>
    <w:p w:rsidR="00260B0A" w:rsidRDefault="00260B0A">
      <w:bookmarkStart w:id="9" w:name="_5ro0zklk9kvp" w:colFirst="0" w:colLast="0"/>
      <w:bookmarkEnd w:id="9"/>
      <w:r>
        <w:br w:type="page"/>
      </w:r>
    </w:p>
    <w:p w:rsidR="00370582" w:rsidRDefault="00992262">
      <w:pPr>
        <w:pStyle w:val="1"/>
        <w:tabs>
          <w:tab w:val="left" w:pos="3681"/>
        </w:tabs>
        <w:ind w:firstLine="0"/>
        <w:jc w:val="right"/>
      </w:pPr>
      <w:r>
        <w:lastRenderedPageBreak/>
        <w:t>Приложение 1</w:t>
      </w:r>
    </w:p>
    <w:p w:rsidR="00370582" w:rsidRDefault="00992262">
      <w:pPr>
        <w:ind w:firstLine="0"/>
        <w:jc w:val="center"/>
      </w:pPr>
      <w:r>
        <w:t>Технические требования к размещению элементов ЭОР</w:t>
      </w:r>
    </w:p>
    <w:p w:rsidR="00370582" w:rsidRDefault="00370582">
      <w:pPr>
        <w:tabs>
          <w:tab w:val="left" w:pos="3681"/>
        </w:tabs>
        <w:ind w:firstLine="0"/>
        <w:jc w:val="center"/>
      </w:pPr>
    </w:p>
    <w:p w:rsidR="00370582" w:rsidRDefault="00992262">
      <w:pPr>
        <w:rPr>
          <w:b/>
        </w:rPr>
      </w:pPr>
      <w:r>
        <w:rPr>
          <w:b/>
        </w:rPr>
        <w:t>1. Регламентированные типы обязательных вопросов для тестовых заданий ЭОР:</w:t>
      </w:r>
    </w:p>
    <w:p w:rsidR="00370582" w:rsidRDefault="00992262">
      <w:pPr>
        <w:tabs>
          <w:tab w:val="left" w:pos="3681"/>
        </w:tabs>
        <w:ind w:firstLine="708"/>
      </w:pPr>
      <w:r>
        <w:t>1.1.  Выбор вариантов ответов.</w:t>
      </w:r>
    </w:p>
    <w:p w:rsidR="00370582" w:rsidRDefault="00992262">
      <w:r>
        <w:t xml:space="preserve">1.1.1. Одиночный выбор (допускается только один правильный ответ). </w:t>
      </w:r>
    </w:p>
    <w:p w:rsidR="00370582" w:rsidRDefault="00992262">
      <w:r>
        <w:t>Тестовый вопрос данного типа должен содержать не менее четырех вариантов ответов.</w:t>
      </w:r>
    </w:p>
    <w:p w:rsidR="00370582" w:rsidRDefault="00992262">
      <w:r>
        <w:t xml:space="preserve">1.1.2. Множественный выбор (допускается несколько правильных ответов). </w:t>
      </w:r>
    </w:p>
    <w:p w:rsidR="00370582" w:rsidRDefault="00992262">
      <w:r>
        <w:t xml:space="preserve">Тестовый вопрос данного типа должен содержать не менее четырех вариантов ответов. </w:t>
      </w:r>
    </w:p>
    <w:p w:rsidR="00370582" w:rsidRDefault="00992262">
      <w:r>
        <w:t>Необходимо предусмотреть систему штрафов (отрицательных баллов) за неверные варианты ответов, которая</w:t>
      </w:r>
      <w:r>
        <w:t xml:space="preserve"> определяется разработчиками. Рекомендуется использовать следующую систему: оценки (в процентах) за каждый вариант ответа выставляются таким образом, чтобы сумма оценок за правильные варианты составляла 100 %, а сумма оценок за неправильные – минус 100 %.</w:t>
      </w:r>
    </w:p>
    <w:p w:rsidR="00370582" w:rsidRDefault="00992262">
      <w:r>
        <w:t>1.2. На соответствие. Тестовый вопрос содержит список вопросов и список ответов, элементы которых необходимо корректно сопоставить между собой.</w:t>
      </w:r>
    </w:p>
    <w:p w:rsidR="00370582" w:rsidRDefault="00992262">
      <w:r>
        <w:t>Тестовый вопрос данного типа должен содержать не менее двух вопросов и трех ответов.</w:t>
      </w:r>
    </w:p>
    <w:p w:rsidR="00370582" w:rsidRDefault="00992262">
      <w:r>
        <w:t>1.3. Короткий ответ. Ответ представляет собой одно слово или фразу из нескольких слов, которые должны соответствовать одному из установленных эталонов ответов.</w:t>
      </w:r>
    </w:p>
    <w:p w:rsidR="00370582" w:rsidRDefault="00992262">
      <w:pPr>
        <w:rPr>
          <w:b/>
        </w:rPr>
      </w:pPr>
      <w:r>
        <w:t>1.4. Числовой ответ. Ответ представляет собой число, при этом может указываться допустимая погре</w:t>
      </w:r>
      <w:r>
        <w:t xml:space="preserve">шность вводимого числа. </w:t>
      </w:r>
    </w:p>
    <w:p w:rsidR="00370582" w:rsidRDefault="00992262">
      <w:r>
        <w:t>1.5. Выбор пропущенных слов. Текстовые объекты для заполнения пропусков в тексте выбираются из выпадающих списков, размещенных в местах пропущенных слов.</w:t>
      </w:r>
    </w:p>
    <w:p w:rsidR="00370582" w:rsidRDefault="00992262">
      <w:r>
        <w:t>Тестовый вопрос данного типа должен содержать не менее двух пропущенных слов.</w:t>
      </w:r>
    </w:p>
    <w:p w:rsidR="00370582" w:rsidRDefault="00992262">
      <w:r>
        <w:t xml:space="preserve">1.6. Перетаскивание маркеров. Вопросы данного типа позволяют позиционировать множество маркеров на фоновом изображении, при этом оценивается позиция каждого маркера. </w:t>
      </w:r>
    </w:p>
    <w:p w:rsidR="00370582" w:rsidRDefault="00992262">
      <w:r>
        <w:t>Тестовый вопрос данного типа должен содержать не менее двух маркеров.</w:t>
      </w:r>
    </w:p>
    <w:p w:rsidR="00370582" w:rsidRDefault="00992262">
      <w:r>
        <w:t>1.7. Перетаскивани</w:t>
      </w:r>
      <w:r>
        <w:t>е на изображение. В данном типе вопроса изображения или слова из списка перетаскиваются и позиционируются в предварительно установленные целевые зоны на фоновом изображении.</w:t>
      </w:r>
    </w:p>
    <w:p w:rsidR="00370582" w:rsidRDefault="00992262">
      <w:r>
        <w:t>Тестовый вопрос данного типа должен содержать не менее двух элементов для перетаск</w:t>
      </w:r>
      <w:r>
        <w:t>ивания.</w:t>
      </w:r>
    </w:p>
    <w:p w:rsidR="00370582" w:rsidRDefault="00370582"/>
    <w:p w:rsidR="00370582" w:rsidRDefault="00370582"/>
    <w:p w:rsidR="00370582" w:rsidRDefault="00992262">
      <w:pPr>
        <w:rPr>
          <w:b/>
        </w:rPr>
      </w:pPr>
      <w:r>
        <w:rPr>
          <w:b/>
        </w:rPr>
        <w:lastRenderedPageBreak/>
        <w:t>2. Требования к размещению контрольно-измерительных материалов:</w:t>
      </w:r>
    </w:p>
    <w:p w:rsidR="00370582" w:rsidRDefault="00992262">
      <w:pPr>
        <w:ind w:firstLine="705"/>
      </w:pPr>
      <w:r>
        <w:t>2.1. Тестовые вопросы и задания создаются только с использованием средств СЭО БГУИР. Не допускается использование сторонних ресурсов и программного обеспечения.</w:t>
      </w:r>
    </w:p>
    <w:p w:rsidR="00370582" w:rsidRDefault="00992262">
      <w:pPr>
        <w:ind w:firstLine="705"/>
      </w:pPr>
      <w:r>
        <w:rPr>
          <w:rFonts w:ascii="Gungsuh" w:eastAsia="Gungsuh" w:hAnsi="Gungsuh" w:cs="Gungsuh"/>
        </w:rPr>
        <w:t>2.2. Тестовые вопросы размещаются в общем банке вопросов курса (главная страница курса → вкладка «Дополнительно» → «Банк вопросов»). Для тестовых вопросов каждого модуля ЭОР создается отдельная подкатегория. По желанию автора(</w:t>
      </w:r>
      <w:proofErr w:type="spellStart"/>
      <w:r>
        <w:rPr>
          <w:rFonts w:ascii="Gungsuh" w:eastAsia="Gungsuh" w:hAnsi="Gungsuh" w:cs="Gungsuh"/>
        </w:rPr>
        <w:t>ов</w:t>
      </w:r>
      <w:proofErr w:type="spellEnd"/>
      <w:r>
        <w:rPr>
          <w:rFonts w:ascii="Gungsuh" w:eastAsia="Gungsuh" w:hAnsi="Gungsuh" w:cs="Gungsuh"/>
        </w:rPr>
        <w:t>) могут быть введены дополни</w:t>
      </w:r>
      <w:r>
        <w:rPr>
          <w:rFonts w:ascii="Gungsuh" w:eastAsia="Gungsuh" w:hAnsi="Gungsuh" w:cs="Gungsuh"/>
        </w:rPr>
        <w:t xml:space="preserve">тельные подкатегории. </w:t>
      </w:r>
    </w:p>
    <w:p w:rsidR="00370582" w:rsidRDefault="00370582">
      <w:pPr>
        <w:ind w:firstLine="705"/>
      </w:pPr>
    </w:p>
    <w:p w:rsidR="00370582" w:rsidRDefault="00992262">
      <w:pPr>
        <w:ind w:firstLine="705"/>
      </w:pPr>
      <w:r>
        <w:t>Пример:</w:t>
      </w:r>
    </w:p>
    <w:p w:rsidR="00370582" w:rsidRDefault="00992262">
      <w:pPr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>По умолчанию для ЭОР (0)</w:t>
      </w:r>
    </w:p>
    <w:p w:rsidR="00370582" w:rsidRDefault="00992262">
      <w:pPr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Тест к модулю 1 (30)</w:t>
      </w:r>
    </w:p>
    <w:p w:rsidR="00370582" w:rsidRDefault="00992262">
      <w:pPr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Тест к модулю 2 (30)</w:t>
      </w:r>
    </w:p>
    <w:p w:rsidR="00370582" w:rsidRDefault="00992262">
      <w:pPr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Тест к модулю 3 (30)</w:t>
      </w:r>
    </w:p>
    <w:p w:rsidR="00370582" w:rsidRDefault="00370582">
      <w:pPr>
        <w:ind w:firstLine="705"/>
      </w:pPr>
    </w:p>
    <w:p w:rsidR="00370582" w:rsidRDefault="00992262">
      <w:pPr>
        <w:ind w:firstLine="705"/>
      </w:pPr>
      <w:r>
        <w:t>2.3. При создании тестовых вопросов в настройках указывается:</w:t>
      </w:r>
    </w:p>
    <w:p w:rsidR="00370582" w:rsidRDefault="00992262">
      <w:pPr>
        <w:ind w:firstLine="705"/>
      </w:pPr>
      <w:r>
        <w:t>– случайный порядок ответов;</w:t>
      </w:r>
    </w:p>
    <w:p w:rsidR="00370582" w:rsidRDefault="00992262">
      <w:pPr>
        <w:ind w:firstLine="705"/>
      </w:pPr>
      <w:r>
        <w:t>– не нумеровать варианты ответов.</w:t>
      </w:r>
    </w:p>
    <w:p w:rsidR="00370582" w:rsidRDefault="00992262">
      <w:pPr>
        <w:ind w:firstLine="705"/>
      </w:pPr>
      <w:r>
        <w:t>2.4. В нас</w:t>
      </w:r>
      <w:r>
        <w:t>тройках тестового задания не выставляются какие-либо ограничения для выполнения.</w:t>
      </w:r>
    </w:p>
    <w:p w:rsidR="00370582" w:rsidRDefault="00370582"/>
    <w:p w:rsidR="00370582" w:rsidRDefault="00992262">
      <w:pPr>
        <w:rPr>
          <w:b/>
        </w:rPr>
      </w:pPr>
      <w:r>
        <w:rPr>
          <w:b/>
        </w:rPr>
        <w:t>3. Требования к размещению практических материалов:</w:t>
      </w:r>
    </w:p>
    <w:p w:rsidR="00370582" w:rsidRDefault="00992262">
      <w:r>
        <w:t>3.1. Для размещения практических материалов используется элемент «Задание» СЭО БГУИР.</w:t>
      </w:r>
    </w:p>
    <w:p w:rsidR="00370582" w:rsidRDefault="00992262">
      <w:r>
        <w:t>3.2. Инструкции к выполнению практич</w:t>
      </w:r>
      <w:r>
        <w:t xml:space="preserve">еских материалов размещаются в поле «Описание» (не «Инструкции к заданию») или отдельным документом. </w:t>
      </w:r>
    </w:p>
    <w:p w:rsidR="00370582" w:rsidRDefault="00992262">
      <w:r>
        <w:t>3.3. В практических материалах для студентов дистанционной и заочной форм получения образования указывается механизм выбора варианта задания.</w:t>
      </w:r>
    </w:p>
    <w:p w:rsidR="00370582" w:rsidRDefault="00370582"/>
    <w:p w:rsidR="00370582" w:rsidRDefault="00370582"/>
    <w:p w:rsidR="00370582" w:rsidRDefault="00370582">
      <w:pPr>
        <w:tabs>
          <w:tab w:val="left" w:pos="3681"/>
        </w:tabs>
        <w:ind w:firstLine="0"/>
        <w:jc w:val="center"/>
      </w:pPr>
    </w:p>
    <w:p w:rsidR="00370582" w:rsidRDefault="00370582">
      <w:pPr>
        <w:tabs>
          <w:tab w:val="left" w:pos="3681"/>
        </w:tabs>
        <w:ind w:firstLine="708"/>
      </w:pPr>
    </w:p>
    <w:p w:rsidR="00370582" w:rsidRDefault="00370582"/>
    <w:p w:rsidR="00370582" w:rsidRDefault="00370582"/>
    <w:p w:rsidR="00370582" w:rsidRDefault="00992262">
      <w:pPr>
        <w:pStyle w:val="1"/>
        <w:jc w:val="right"/>
      </w:pPr>
      <w:bookmarkStart w:id="10" w:name="_t8mrnvqjmfi" w:colFirst="0" w:colLast="0"/>
      <w:bookmarkEnd w:id="10"/>
      <w:r>
        <w:br w:type="page"/>
      </w:r>
    </w:p>
    <w:p w:rsidR="00370582" w:rsidRDefault="00992262">
      <w:pPr>
        <w:pStyle w:val="1"/>
        <w:jc w:val="right"/>
      </w:pPr>
      <w:bookmarkStart w:id="11" w:name="_p2a2ypxsaxm7" w:colFirst="0" w:colLast="0"/>
      <w:bookmarkEnd w:id="11"/>
      <w:r>
        <w:lastRenderedPageBreak/>
        <w:t>Приложение 2</w:t>
      </w:r>
    </w:p>
    <w:p w:rsidR="00370582" w:rsidRDefault="00370582">
      <w:pPr>
        <w:jc w:val="center"/>
        <w:rPr>
          <w:color w:val="000000"/>
        </w:rPr>
      </w:pPr>
    </w:p>
    <w:p w:rsidR="00370582" w:rsidRDefault="00992262">
      <w:pPr>
        <w:jc w:val="center"/>
        <w:rPr>
          <w:color w:val="000000"/>
        </w:rPr>
      </w:pPr>
      <w:r>
        <w:rPr>
          <w:color w:val="000000"/>
        </w:rPr>
        <w:t>Учреждение образования</w:t>
      </w:r>
    </w:p>
    <w:p w:rsidR="00370582" w:rsidRDefault="00992262">
      <w:pPr>
        <w:jc w:val="center"/>
        <w:rPr>
          <w:color w:val="000000"/>
        </w:rPr>
      </w:pPr>
      <w:r>
        <w:rPr>
          <w:color w:val="000000"/>
        </w:rPr>
        <w:t xml:space="preserve">«Белорусский государственный университет </w:t>
      </w:r>
    </w:p>
    <w:p w:rsidR="00370582" w:rsidRDefault="00992262">
      <w:pPr>
        <w:jc w:val="center"/>
        <w:rPr>
          <w:color w:val="000000"/>
        </w:rPr>
      </w:pPr>
      <w:r>
        <w:rPr>
          <w:color w:val="000000"/>
        </w:rPr>
        <w:t>информатики и радиоэлектроники»</w:t>
      </w:r>
    </w:p>
    <w:p w:rsidR="00370582" w:rsidRDefault="00370582">
      <w:pPr>
        <w:jc w:val="center"/>
        <w:rPr>
          <w:color w:val="000000"/>
        </w:rPr>
      </w:pPr>
    </w:p>
    <w:p w:rsidR="00370582" w:rsidRDefault="00992262">
      <w:pPr>
        <w:jc w:val="center"/>
        <w:rPr>
          <w:color w:val="000000"/>
        </w:rPr>
      </w:pPr>
      <w:r>
        <w:rPr>
          <w:color w:val="000000"/>
        </w:rPr>
        <w:t>СВИДЕТЕЛЬСТВО</w:t>
      </w:r>
    </w:p>
    <w:p w:rsidR="00370582" w:rsidRDefault="00370582">
      <w:pPr>
        <w:jc w:val="center"/>
        <w:rPr>
          <w:color w:val="000000"/>
        </w:rPr>
      </w:pPr>
    </w:p>
    <w:p w:rsidR="00370582" w:rsidRDefault="00992262">
      <w:pPr>
        <w:jc w:val="center"/>
        <w:rPr>
          <w:color w:val="000000"/>
        </w:rPr>
      </w:pPr>
      <w:r>
        <w:rPr>
          <w:color w:val="000000"/>
        </w:rPr>
        <w:t>от ___________ № ________</w:t>
      </w:r>
    </w:p>
    <w:p w:rsidR="00370582" w:rsidRDefault="00370582">
      <w:pPr>
        <w:jc w:val="center"/>
        <w:rPr>
          <w:color w:val="000000"/>
        </w:rPr>
      </w:pPr>
    </w:p>
    <w:p w:rsidR="00370582" w:rsidRDefault="00370582">
      <w:pPr>
        <w:jc w:val="center"/>
        <w:rPr>
          <w:color w:val="000000"/>
        </w:rPr>
      </w:pPr>
    </w:p>
    <w:p w:rsidR="00370582" w:rsidRDefault="00992262">
      <w:pPr>
        <w:ind w:left="-709"/>
        <w:jc w:val="center"/>
        <w:rPr>
          <w:color w:val="000000"/>
        </w:rPr>
      </w:pPr>
      <w:r>
        <w:rPr>
          <w:color w:val="000000"/>
        </w:rPr>
        <w:t>о регистрации электронного образовательного ресурса по учебной дисциплине</w:t>
      </w:r>
    </w:p>
    <w:p w:rsidR="00370582" w:rsidRDefault="00992262">
      <w:pPr>
        <w:jc w:val="center"/>
        <w:rPr>
          <w:color w:val="000000"/>
        </w:rPr>
      </w:pPr>
      <w:r>
        <w:rPr>
          <w:color w:val="000000"/>
        </w:rPr>
        <w:t>___________________________</w:t>
      </w:r>
      <w:r>
        <w:rPr>
          <w:color w:val="000000"/>
        </w:rPr>
        <w:t>___________________________________</w:t>
      </w:r>
    </w:p>
    <w:p w:rsidR="00370582" w:rsidRDefault="00992262">
      <w:pPr>
        <w:jc w:val="center"/>
        <w:rPr>
          <w:color w:val="000000"/>
        </w:rPr>
      </w:pPr>
      <w:r>
        <w:rPr>
          <w:color w:val="000000"/>
        </w:rPr>
        <w:t>(наименование учебной дисциплины)</w:t>
      </w:r>
    </w:p>
    <w:p w:rsidR="00370582" w:rsidRDefault="00370582">
      <w:pPr>
        <w:jc w:val="center"/>
        <w:rPr>
          <w:color w:val="000000"/>
        </w:rPr>
      </w:pPr>
    </w:p>
    <w:p w:rsidR="00370582" w:rsidRDefault="00370582">
      <w:pPr>
        <w:jc w:val="center"/>
        <w:rPr>
          <w:color w:val="000000"/>
        </w:rPr>
      </w:pPr>
    </w:p>
    <w:p w:rsidR="00370582" w:rsidRDefault="00992262">
      <w:pPr>
        <w:jc w:val="center"/>
        <w:rPr>
          <w:color w:val="000000"/>
        </w:rPr>
      </w:pPr>
      <w:r>
        <w:rPr>
          <w:color w:val="000000"/>
        </w:rPr>
        <w:t>Правообладатель личных неимущественных прав:</w:t>
      </w:r>
    </w:p>
    <w:p w:rsidR="00370582" w:rsidRDefault="00992262">
      <w:pPr>
        <w:jc w:val="center"/>
        <w:rPr>
          <w:color w:val="000000"/>
        </w:rPr>
      </w:pPr>
      <w:r>
        <w:rPr>
          <w:color w:val="000000"/>
        </w:rPr>
        <w:t>_______________________________________________________________</w:t>
      </w:r>
    </w:p>
    <w:p w:rsidR="00370582" w:rsidRDefault="00370582">
      <w:pPr>
        <w:jc w:val="center"/>
        <w:rPr>
          <w:color w:val="000000"/>
        </w:rPr>
      </w:pPr>
    </w:p>
    <w:p w:rsidR="00370582" w:rsidRDefault="00992262">
      <w:pPr>
        <w:ind w:left="-426"/>
        <w:jc w:val="center"/>
        <w:rPr>
          <w:color w:val="000000"/>
        </w:rPr>
      </w:pPr>
      <w:r>
        <w:rPr>
          <w:color w:val="000000"/>
        </w:rPr>
        <w:t xml:space="preserve">Год создания электронного образовательного </w:t>
      </w:r>
      <w:proofErr w:type="gramStart"/>
      <w:r>
        <w:rPr>
          <w:color w:val="000000"/>
        </w:rPr>
        <w:t>ресурса  по</w:t>
      </w:r>
      <w:proofErr w:type="gramEnd"/>
      <w:r>
        <w:rPr>
          <w:color w:val="000000"/>
        </w:rPr>
        <w:t xml:space="preserve"> учебной  дисциплине</w:t>
      </w:r>
      <w:r>
        <w:rPr>
          <w:color w:val="000000"/>
        </w:rPr>
        <w:t>:</w:t>
      </w:r>
    </w:p>
    <w:p w:rsidR="00370582" w:rsidRDefault="00992262">
      <w:pPr>
        <w:jc w:val="center"/>
        <w:rPr>
          <w:color w:val="000000"/>
        </w:rPr>
      </w:pPr>
      <w:r>
        <w:rPr>
          <w:color w:val="000000"/>
        </w:rPr>
        <w:t>_______________________________________________________________</w:t>
      </w:r>
    </w:p>
    <w:p w:rsidR="00370582" w:rsidRDefault="00370582">
      <w:pPr>
        <w:jc w:val="center"/>
        <w:rPr>
          <w:color w:val="000000"/>
        </w:rPr>
      </w:pPr>
    </w:p>
    <w:p w:rsidR="00370582" w:rsidRDefault="00992262">
      <w:pPr>
        <w:jc w:val="center"/>
        <w:rPr>
          <w:color w:val="000000"/>
        </w:rPr>
      </w:pPr>
      <w:r>
        <w:rPr>
          <w:color w:val="000000"/>
        </w:rPr>
        <w:t>Исключительные права принадлежат БГУИР</w:t>
      </w:r>
    </w:p>
    <w:p w:rsidR="00370582" w:rsidRDefault="00370582">
      <w:pPr>
        <w:jc w:val="center"/>
        <w:rPr>
          <w:color w:val="000000"/>
        </w:rPr>
      </w:pPr>
    </w:p>
    <w:p w:rsidR="00370582" w:rsidRDefault="00370582">
      <w:pPr>
        <w:jc w:val="center"/>
        <w:rPr>
          <w:color w:val="000000"/>
        </w:rPr>
      </w:pPr>
    </w:p>
    <w:tbl>
      <w:tblPr>
        <w:tblStyle w:val="a8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68"/>
        <w:gridCol w:w="5079"/>
      </w:tblGrid>
      <w:tr w:rsidR="00370582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370582" w:rsidRDefault="00992262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Проректор по учебной работе</w:t>
            </w:r>
          </w:p>
          <w:p w:rsidR="00370582" w:rsidRDefault="00992262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учреждения образования </w:t>
            </w:r>
          </w:p>
          <w:p w:rsidR="00370582" w:rsidRDefault="00992262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«Белорусский государственный </w:t>
            </w:r>
          </w:p>
          <w:p w:rsidR="00370582" w:rsidRDefault="00992262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университет информатики </w:t>
            </w:r>
          </w:p>
          <w:p w:rsidR="00370582" w:rsidRDefault="00992262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и радиоэлектроники»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:rsidR="00370582" w:rsidRDefault="00370582">
            <w:pPr>
              <w:ind w:firstLine="0"/>
              <w:jc w:val="left"/>
              <w:rPr>
                <w:color w:val="000000"/>
              </w:rPr>
            </w:pPr>
          </w:p>
          <w:p w:rsidR="00370582" w:rsidRDefault="00370582">
            <w:pPr>
              <w:ind w:firstLine="0"/>
              <w:jc w:val="left"/>
              <w:rPr>
                <w:color w:val="000000"/>
              </w:rPr>
            </w:pPr>
          </w:p>
          <w:p w:rsidR="00370582" w:rsidRDefault="00370582">
            <w:pPr>
              <w:ind w:firstLine="0"/>
              <w:jc w:val="left"/>
              <w:rPr>
                <w:color w:val="000000"/>
              </w:rPr>
            </w:pPr>
          </w:p>
          <w:p w:rsidR="00370582" w:rsidRDefault="00992262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 ________________</w:t>
            </w:r>
          </w:p>
          <w:p w:rsidR="00370582" w:rsidRDefault="00992262">
            <w:pPr>
              <w:ind w:firstLine="0"/>
              <w:jc w:val="left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               (</w:t>
            </w:r>
            <w:proofErr w:type="gramStart"/>
            <w:r>
              <w:rPr>
                <w:color w:val="000000"/>
                <w:vertAlign w:val="superscript"/>
              </w:rPr>
              <w:t xml:space="preserve">подпись)   </w:t>
            </w:r>
            <w:proofErr w:type="gramEnd"/>
            <w:r>
              <w:rPr>
                <w:color w:val="000000"/>
                <w:vertAlign w:val="superscript"/>
              </w:rPr>
              <w:t xml:space="preserve">                            (ФИО)</w:t>
            </w:r>
          </w:p>
          <w:p w:rsidR="00370582" w:rsidRDefault="00992262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                   М.П.</w:t>
            </w:r>
            <w:r>
              <w:rPr>
                <w:color w:val="000000"/>
                <w:vertAlign w:val="superscript"/>
              </w:rPr>
              <w:br/>
            </w:r>
            <w:r>
              <w:rPr>
                <w:color w:val="000000"/>
              </w:rPr>
              <w:t>«______» ______________ _______ г.</w:t>
            </w:r>
          </w:p>
          <w:p w:rsidR="00370582" w:rsidRDefault="00370582">
            <w:pPr>
              <w:ind w:firstLine="0"/>
              <w:jc w:val="left"/>
              <w:rPr>
                <w:color w:val="000000"/>
              </w:rPr>
            </w:pPr>
          </w:p>
        </w:tc>
      </w:tr>
    </w:tbl>
    <w:p w:rsidR="00370582" w:rsidRDefault="00370582"/>
    <w:p w:rsidR="00370582" w:rsidRDefault="00370582"/>
    <w:p w:rsidR="00370582" w:rsidRDefault="00370582"/>
    <w:p w:rsidR="00370582" w:rsidRDefault="00992262">
      <w:pPr>
        <w:rPr>
          <w:color w:val="000000"/>
        </w:rPr>
      </w:pPr>
      <w:r>
        <w:br w:type="page"/>
      </w:r>
    </w:p>
    <w:p w:rsidR="00370582" w:rsidRDefault="00992262">
      <w:pPr>
        <w:pStyle w:val="1"/>
        <w:jc w:val="right"/>
      </w:pPr>
      <w:r>
        <w:lastRenderedPageBreak/>
        <w:t>Приложение 3</w:t>
      </w:r>
    </w:p>
    <w:p w:rsidR="00370582" w:rsidRDefault="00992262">
      <w:pPr>
        <w:ind w:firstLine="0"/>
        <w:jc w:val="center"/>
      </w:pPr>
      <w:r>
        <w:t>Образец докладной записки на материальное стимулирование</w:t>
      </w:r>
      <w:r>
        <w:br/>
      </w:r>
      <w:r>
        <w:t>коллектива разработчиков ЭОР</w:t>
      </w:r>
    </w:p>
    <w:p w:rsidR="00370582" w:rsidRDefault="00370582">
      <w:pPr>
        <w:ind w:firstLine="0"/>
        <w:jc w:val="center"/>
        <w:rPr>
          <w:i/>
        </w:rPr>
      </w:pP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firstLine="0"/>
      </w:pPr>
      <w:r>
        <w:t>Кафедра название кафедры</w:t>
      </w:r>
      <w:r>
        <w:tab/>
        <w:t xml:space="preserve">В комиссию 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firstLine="0"/>
      </w:pPr>
      <w:r>
        <w:tab/>
        <w:t>по определению размера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firstLine="0"/>
      </w:pPr>
      <w:r>
        <w:tab/>
        <w:t>надбавок за характер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firstLine="0"/>
      </w:pPr>
      <w:r>
        <w:tab/>
        <w:t xml:space="preserve">труда педагогическим 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firstLine="0"/>
      </w:pPr>
      <w:r>
        <w:tab/>
        <w:t xml:space="preserve">работникам за выполнение 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firstLine="0"/>
      </w:pPr>
      <w:r>
        <w:tab/>
        <w:t>отдельных видов работ</w:t>
      </w:r>
    </w:p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firstLine="0"/>
      </w:pP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firstLine="0"/>
      </w:pPr>
      <w:r>
        <w:tab/>
      </w:r>
    </w:p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ind w:firstLine="0"/>
      </w:pPr>
      <w:r>
        <w:t>ДОКЛАДНАЯ 3АПИСКА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ind w:firstLine="0"/>
      </w:pPr>
      <w:r>
        <w:t>_</w:t>
      </w:r>
      <w:proofErr w:type="gramStart"/>
      <w:r>
        <w:t>_._</w:t>
      </w:r>
      <w:proofErr w:type="gramEnd"/>
      <w:r>
        <w:t>_.20__ № ______</w:t>
      </w: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ind w:firstLine="0"/>
      </w:pPr>
      <w:r>
        <w:t>г. Минск</w:t>
      </w:r>
    </w:p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ind w:firstLine="0"/>
      </w:pPr>
      <w:r>
        <w:t>О стимулировании з</w:t>
      </w:r>
      <w:r>
        <w:t>а разработку ЭОР</w:t>
      </w:r>
    </w:p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На основании Положения «Об электронном образовательном ресурсе по учебной дисциплине» прошу организовать материальное стимулирование разработчиков ЭОР «Название дисциплины, по которой разработан ЭОР» (авторы: Иванов И.И., Петров П.П.).</w:t>
      </w:r>
    </w:p>
    <w:p w:rsidR="00370582" w:rsidRDefault="00370582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9"/>
        <w:tblW w:w="99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0"/>
        <w:gridCol w:w="4200"/>
        <w:gridCol w:w="2310"/>
      </w:tblGrid>
      <w:tr w:rsidR="00370582">
        <w:trPr>
          <w:trHeight w:val="571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>
              <w:t>ФИО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>
              <w:t>Должность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>
              <w:t>Вклад в разработку, %</w:t>
            </w:r>
          </w:p>
        </w:tc>
      </w:tr>
      <w:tr w:rsidR="00370582">
        <w:trPr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</w:pPr>
            <w:r>
              <w:t>Иванов И.И.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"/>
              </w:tabs>
              <w:ind w:firstLine="0"/>
            </w:pPr>
            <w:r>
              <w:t>должность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0582" w:rsidRDefault="00992262">
            <w:pPr>
              <w:ind w:firstLine="0"/>
              <w:jc w:val="center"/>
            </w:pPr>
            <w:r>
              <w:t>50</w:t>
            </w:r>
          </w:p>
        </w:tc>
      </w:tr>
      <w:tr w:rsidR="00370582">
        <w:trPr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</w:pPr>
            <w:r>
              <w:t>Петров П.П.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"/>
              </w:tabs>
              <w:ind w:firstLine="0"/>
            </w:pPr>
            <w:r>
              <w:t>должность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0582" w:rsidRDefault="00992262">
            <w:pPr>
              <w:ind w:firstLine="0"/>
              <w:jc w:val="center"/>
            </w:pPr>
            <w:r>
              <w:t>50</w:t>
            </w:r>
          </w:p>
        </w:tc>
      </w:tr>
    </w:tbl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ind w:left="720" w:firstLine="0"/>
        <w:rPr>
          <w:color w:val="000000"/>
        </w:rPr>
      </w:pPr>
    </w:p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ind w:left="720" w:firstLine="0"/>
      </w:pPr>
    </w:p>
    <w:p w:rsidR="00370582" w:rsidRDefault="00992262">
      <w:pPr>
        <w:pBdr>
          <w:top w:val="nil"/>
          <w:left w:val="nil"/>
          <w:bottom w:val="nil"/>
          <w:right w:val="nil"/>
          <w:between w:val="nil"/>
        </w:pBdr>
        <w:tabs>
          <w:tab w:val="left" w:pos="3681"/>
        </w:tabs>
        <w:ind w:firstLine="0"/>
      </w:pPr>
      <w:r>
        <w:t>Заведующий кафедрой</w:t>
      </w:r>
      <w:r>
        <w:tab/>
        <w:t>_________________</w:t>
      </w:r>
      <w:r>
        <w:tab/>
        <w:t>____________________</w:t>
      </w:r>
    </w:p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tabs>
          <w:tab w:val="left" w:pos="1402"/>
        </w:tabs>
        <w:ind w:left="720" w:firstLine="0"/>
      </w:pPr>
    </w:p>
    <w:p w:rsidR="00370582" w:rsidRDefault="00370582">
      <w:pPr>
        <w:tabs>
          <w:tab w:val="left" w:pos="1402"/>
        </w:tabs>
        <w:ind w:left="720" w:firstLine="0"/>
      </w:pPr>
    </w:p>
    <w:p w:rsidR="00370582" w:rsidRDefault="00992262">
      <w:pPr>
        <w:pStyle w:val="1"/>
        <w:tabs>
          <w:tab w:val="left" w:pos="3681"/>
        </w:tabs>
        <w:ind w:firstLine="0"/>
        <w:jc w:val="right"/>
      </w:pPr>
      <w:bookmarkStart w:id="12" w:name="_uocja5xslosy" w:colFirst="0" w:colLast="0"/>
      <w:bookmarkEnd w:id="12"/>
      <w:r>
        <w:br w:type="page"/>
      </w:r>
      <w:r>
        <w:lastRenderedPageBreak/>
        <w:t>Приложение 4</w:t>
      </w:r>
    </w:p>
    <w:p w:rsidR="00370582" w:rsidRDefault="00992262">
      <w:pPr>
        <w:ind w:firstLine="0"/>
        <w:jc w:val="center"/>
      </w:pPr>
      <w:r>
        <w:t>Пример расчета коэффициента, учитывающего формат представления материалов ЭОР:</w:t>
      </w:r>
    </w:p>
    <w:p w:rsidR="00370582" w:rsidRDefault="00370582">
      <w:pPr>
        <w:ind w:firstLine="0"/>
      </w:pPr>
    </w:p>
    <w:tbl>
      <w:tblPr>
        <w:tblStyle w:val="aa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36"/>
        <w:gridCol w:w="3593"/>
      </w:tblGrid>
      <w:tr w:rsidR="00370582" w:rsidTr="00260B0A">
        <w:trPr>
          <w:trHeight w:val="20"/>
        </w:trPr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 модуля ЭОР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формата представления материалов элемента</w:t>
            </w:r>
          </w:p>
        </w:tc>
      </w:tr>
      <w:tr w:rsidR="00370582" w:rsidTr="00260B0A">
        <w:trPr>
          <w:trHeight w:val="17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0582" w:rsidRDefault="009922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1. Основы …..</w:t>
            </w:r>
            <w:bookmarkStart w:id="13" w:name="_GoBack"/>
            <w:bookmarkEnd w:id="13"/>
          </w:p>
        </w:tc>
      </w:tr>
      <w:tr w:rsidR="00370582" w:rsidTr="00260B0A">
        <w:trPr>
          <w:trHeight w:val="20"/>
        </w:trPr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0582" w:rsidRDefault="0099226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по модулю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370582" w:rsidTr="00260B0A">
        <w:trPr>
          <w:trHeight w:val="60"/>
        </w:trPr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ПЗ1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370582" w:rsidTr="00260B0A">
        <w:trPr>
          <w:trHeight w:val="20"/>
        </w:trPr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ПЗ2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370582" w:rsidTr="00260B0A">
        <w:trPr>
          <w:trHeight w:val="20"/>
        </w:trPr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ЛР1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370582" w:rsidTr="00260B0A">
        <w:trPr>
          <w:trHeight w:val="20"/>
        </w:trPr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ЛР2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370582" w:rsidTr="00260B0A">
        <w:trPr>
          <w:trHeight w:val="20"/>
        </w:trPr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ИПР1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370582" w:rsidTr="00260B0A">
        <w:trPr>
          <w:trHeight w:val="20"/>
        </w:trPr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ИПР2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370582" w:rsidTr="00260B0A">
        <w:trPr>
          <w:trHeight w:val="20"/>
        </w:trPr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Типовые расчёты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370582" w:rsidTr="00260B0A">
        <w:trPr>
          <w:trHeight w:val="20"/>
        </w:trPr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Курсовая работа / Курсовой проект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370582" w:rsidTr="00260B0A">
        <w:trPr>
          <w:trHeight w:val="20"/>
        </w:trPr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вопросов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370582" w:rsidTr="00260B0A">
        <w:trPr>
          <w:trHeight w:val="240"/>
        </w:trPr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370582" w:rsidRDefault="00992262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модулю 1 (</w:t>
            </w:r>
            <w:proofErr w:type="spellStart"/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  <w:vertAlign w:val="subscript"/>
              </w:rPr>
              <w:t>mi</w:t>
            </w:r>
            <w:proofErr w:type="spellEnd"/>
            <w:r>
              <w:rPr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среднее геометрическое из </w:t>
            </w:r>
            <w:proofErr w:type="spellStart"/>
            <w:r>
              <w:rPr>
                <w:b/>
                <w:sz w:val="22"/>
                <w:szCs w:val="22"/>
              </w:rPr>
              <w:t>Kj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70582" w:rsidRDefault="00992262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0,74</w:t>
            </w:r>
          </w:p>
        </w:tc>
      </w:tr>
    </w:tbl>
    <w:p w:rsidR="00370582" w:rsidRDefault="00370582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:rsidR="00370582" w:rsidRDefault="00992262">
      <w:r>
        <w:t xml:space="preserve">Значение коэффициента </w:t>
      </w:r>
      <w:proofErr w:type="gramStart"/>
      <w:r>
        <w:t>К</w:t>
      </w:r>
      <w:proofErr w:type="gramEnd"/>
      <w:r>
        <w:t xml:space="preserve"> по всему ЭОР – среднее арифметическое от значений всех коэффициентов по модулям.</w:t>
      </w:r>
    </w:p>
    <w:sectPr w:rsidR="00370582">
      <w:pgSz w:w="11906" w:h="16838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62" w:rsidRDefault="00992262">
      <w:r>
        <w:separator/>
      </w:r>
    </w:p>
  </w:endnote>
  <w:endnote w:type="continuationSeparator" w:id="0">
    <w:p w:rsidR="00992262" w:rsidRDefault="0099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82" w:rsidRDefault="003705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82" w:rsidRDefault="003705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82" w:rsidRDefault="003705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62" w:rsidRDefault="00992262">
      <w:r>
        <w:separator/>
      </w:r>
    </w:p>
  </w:footnote>
  <w:footnote w:type="continuationSeparator" w:id="0">
    <w:p w:rsidR="00992262" w:rsidRDefault="0099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82" w:rsidRDefault="003705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82" w:rsidRDefault="003705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82" w:rsidRDefault="003705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6C01"/>
    <w:multiLevelType w:val="multilevel"/>
    <w:tmpl w:val="57A6F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82"/>
    <w:rsid w:val="00260B0A"/>
    <w:rsid w:val="00370582"/>
    <w:rsid w:val="0041294D"/>
    <w:rsid w:val="0099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BF58"/>
  <w15:docId w15:val="{694FA648-754A-4DAC-8D29-228CB976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jc w:val="left"/>
      <w:outlineLvl w:val="0"/>
    </w:p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4236</Words>
  <Characters>24148</Characters>
  <Application>Microsoft Office Word</Application>
  <DocSecurity>0</DocSecurity>
  <Lines>201</Lines>
  <Paragraphs>56</Paragraphs>
  <ScaleCrop>false</ScaleCrop>
  <Company/>
  <LinksUpToDate>false</LinksUpToDate>
  <CharactersWithSpaces>28328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Соколовская Е.Н.</cp:lastModifiedBy>
  <cp:revision>3</cp:revision>
  <dcterms:created xsi:type="dcterms:W3CDTF">2025-03-14T10:04:00Z</dcterms:created>
  <dcterms:modified xsi:type="dcterms:W3CDTF">2025-03-14T10:06:00Z</dcterms:modified>
</cp:coreProperties>
</file>